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D693" w14:textId="671EB856" w:rsidR="000869A2" w:rsidRDefault="00697FC0" w:rsidP="007236F0">
      <w:pPr>
        <w:spacing w:after="0"/>
        <w:rPr>
          <w:b/>
          <w:sz w:val="48"/>
        </w:rPr>
      </w:pPr>
      <w:r>
        <w:rPr>
          <w:noProof/>
        </w:rPr>
        <w:drawing>
          <wp:inline distT="0" distB="0" distL="0" distR="0" wp14:anchorId="20929A41" wp14:editId="22C32936">
            <wp:extent cx="5270500" cy="1230630"/>
            <wp:effectExtent l="0" t="0" r="7620" b="5715"/>
            <wp:docPr id="1" name="Picture 1" descr="Accessible Arts &amp; Access Accessible Art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Arts &amp; Access Accessible Arts logo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2E02" w14:textId="77777777" w:rsidR="00190329" w:rsidRDefault="00190329" w:rsidP="00190329">
      <w:pPr>
        <w:pStyle w:val="Heading1"/>
        <w:rPr>
          <w:bCs/>
        </w:rPr>
      </w:pPr>
      <w:bookmarkStart w:id="0" w:name="_Toc106113402"/>
      <w:r w:rsidRPr="00190329">
        <w:t>Accessibility Starter Kit</w:t>
      </w:r>
    </w:p>
    <w:p w14:paraId="762E4D8B" w14:textId="77777777" w:rsidR="00190329" w:rsidRPr="00A23AE9" w:rsidRDefault="00190329" w:rsidP="00E21203">
      <w:r w:rsidRPr="00317EC2">
        <w:t xml:space="preserve">Accessible Arts’ Starter kit is a tool to be used for an initial venue and organisation access appraisal. It is a simple audit for disability access to venue and events and </w:t>
      </w:r>
      <w:r>
        <w:t xml:space="preserve">may provide </w:t>
      </w:r>
      <w:r w:rsidRPr="00317EC2">
        <w:t xml:space="preserve">the basis for public information that can go onto the website, marketing material or an access information sheet. This will also inform your organisation’s Disability Action Planning. </w:t>
      </w:r>
    </w:p>
    <w:p w14:paraId="6961C574" w14:textId="325C2926" w:rsidR="00190329" w:rsidRPr="00317EC2" w:rsidRDefault="00190329" w:rsidP="00E21203">
      <w:r w:rsidRPr="00A23AE9">
        <w:t xml:space="preserve">Some practices are legislated, yet many of the guiding principles for increased </w:t>
      </w:r>
      <w:r w:rsidR="00E21203" w:rsidRPr="00A23AE9">
        <w:t>accessibility</w:t>
      </w:r>
      <w:r w:rsidRPr="00A23AE9">
        <w:t xml:space="preserve"> make good sense </w:t>
      </w:r>
      <w:r>
        <w:t xml:space="preserve">as well as being </w:t>
      </w:r>
      <w:r w:rsidRPr="00A23AE9">
        <w:t xml:space="preserve">good business </w:t>
      </w:r>
      <w:r>
        <w:t>practice</w:t>
      </w:r>
      <w:r w:rsidRPr="00A23AE9">
        <w:t>.</w:t>
      </w:r>
    </w:p>
    <w:p w14:paraId="66E0EBFF" w14:textId="77777777" w:rsidR="00190329" w:rsidRPr="00A23AE9" w:rsidRDefault="00190329" w:rsidP="00E21203">
      <w:r w:rsidRPr="00317EC2">
        <w:t>Aspects of disability access to consider include:</w:t>
      </w:r>
    </w:p>
    <w:p w14:paraId="5DCA9550" w14:textId="73171065" w:rsidR="00190329" w:rsidRPr="00E21203" w:rsidRDefault="00190329" w:rsidP="00E21203">
      <w:pPr>
        <w:pStyle w:val="ListBullet"/>
      </w:pPr>
      <w:r w:rsidRPr="00E21203">
        <w:t xml:space="preserve">Consultation – committees, forums, surveys, social media, formal and informal </w:t>
      </w:r>
      <w:r w:rsidR="00E21203" w:rsidRPr="00E21203">
        <w:t>feedback</w:t>
      </w:r>
    </w:p>
    <w:p w14:paraId="05000874" w14:textId="77777777" w:rsidR="00190329" w:rsidRPr="00E21203" w:rsidRDefault="00190329" w:rsidP="00E21203">
      <w:pPr>
        <w:pStyle w:val="ListBullet"/>
      </w:pPr>
      <w:r w:rsidRPr="00E21203">
        <w:t>Parking, public transport and accessible paths of travel</w:t>
      </w:r>
    </w:p>
    <w:p w14:paraId="54FC40A4" w14:textId="77777777" w:rsidR="00190329" w:rsidRPr="00E21203" w:rsidRDefault="00190329" w:rsidP="00E21203">
      <w:pPr>
        <w:pStyle w:val="ListBullet"/>
      </w:pPr>
      <w:r w:rsidRPr="00E21203">
        <w:t>Physical access: ramps, handrails, door handles and doorways, lifts, amenities</w:t>
      </w:r>
    </w:p>
    <w:p w14:paraId="3D7C1929" w14:textId="77777777" w:rsidR="00190329" w:rsidRPr="00E21203" w:rsidRDefault="00190329" w:rsidP="00E21203">
      <w:pPr>
        <w:pStyle w:val="ListBullet"/>
      </w:pPr>
      <w:r w:rsidRPr="00E21203">
        <w:t>Services – accessibility of event program, customer service and flexibility</w:t>
      </w:r>
    </w:p>
    <w:p w14:paraId="4F1ADFCC" w14:textId="77777777" w:rsidR="00190329" w:rsidRPr="00E21203" w:rsidRDefault="00190329" w:rsidP="00E21203">
      <w:pPr>
        <w:pStyle w:val="ListBullet"/>
      </w:pPr>
      <w:r w:rsidRPr="00E21203">
        <w:t xml:space="preserve">Attitude – disability awareness, equitability, respect, inclusion, diversity </w:t>
      </w:r>
    </w:p>
    <w:p w14:paraId="3DCF0662" w14:textId="77777777" w:rsidR="00190329" w:rsidRPr="00E21203" w:rsidRDefault="00190329" w:rsidP="00E21203">
      <w:pPr>
        <w:pStyle w:val="ListBullet"/>
      </w:pPr>
      <w:r w:rsidRPr="00E21203">
        <w:t>Affordability – companion card affiliate, comparable costs and opportunities</w:t>
      </w:r>
    </w:p>
    <w:p w14:paraId="6334BE4F" w14:textId="77777777" w:rsidR="00190329" w:rsidRPr="00E21203" w:rsidRDefault="00190329" w:rsidP="00E21203">
      <w:pPr>
        <w:pStyle w:val="ListBullet"/>
      </w:pPr>
      <w:r w:rsidRPr="00E21203">
        <w:t>Information – how to get there, disability facilities and services, signage</w:t>
      </w:r>
    </w:p>
    <w:p w14:paraId="34B1D4C1" w14:textId="77777777" w:rsidR="00190329" w:rsidRPr="00E21203" w:rsidRDefault="00190329" w:rsidP="00E21203">
      <w:pPr>
        <w:pStyle w:val="ListBullet"/>
      </w:pPr>
      <w:r w:rsidRPr="00E21203">
        <w:t>Access to information – accessible website, alternate formats, options for communication</w:t>
      </w:r>
    </w:p>
    <w:p w14:paraId="7EB18A7C" w14:textId="77777777" w:rsidR="00190329" w:rsidRPr="00E21203" w:rsidRDefault="00190329" w:rsidP="00E21203">
      <w:pPr>
        <w:pStyle w:val="ListBullet"/>
      </w:pPr>
      <w:r w:rsidRPr="00E21203">
        <w:t>Capacity building and partnership – mainstream and disability sector promotion</w:t>
      </w:r>
    </w:p>
    <w:p w14:paraId="7C1ABF30" w14:textId="77777777" w:rsidR="00190329" w:rsidRPr="00317EC2" w:rsidRDefault="00190329" w:rsidP="00190329">
      <w:pPr>
        <w:autoSpaceDE w:val="0"/>
        <w:autoSpaceDN w:val="0"/>
        <w:adjustRightInd w:val="0"/>
        <w:ind w:right="-478"/>
        <w:rPr>
          <w:rFonts w:cs="Helvetica"/>
          <w:color w:val="000000"/>
        </w:rPr>
      </w:pPr>
    </w:p>
    <w:p w14:paraId="2925964A" w14:textId="77777777" w:rsidR="00190329" w:rsidRPr="007702F9" w:rsidRDefault="00190329" w:rsidP="00E21203">
      <w:r w:rsidRPr="007702F9">
        <w:lastRenderedPageBreak/>
        <w:t xml:space="preserve">Thinking about access at the very earliest planning stages of your event means thinking about the access requirements of staff, public and </w:t>
      </w:r>
      <w:r>
        <w:t xml:space="preserve">artists or </w:t>
      </w:r>
      <w:r w:rsidRPr="007702F9">
        <w:t xml:space="preserve">performers who may have a disability. </w:t>
      </w:r>
    </w:p>
    <w:p w14:paraId="2203667B" w14:textId="77777777" w:rsidR="00190329" w:rsidRPr="007702F9" w:rsidRDefault="00190329" w:rsidP="00E21203">
      <w:r w:rsidRPr="007702F9">
        <w:t>Inclusive practices remove the disadvantages and enable everyone to have a choice to participate equally.</w:t>
      </w:r>
    </w:p>
    <w:p w14:paraId="6A1C20DC" w14:textId="77777777" w:rsidR="00ED2207" w:rsidRPr="00A33078" w:rsidRDefault="00ED2207" w:rsidP="00ED2207">
      <w:pPr>
        <w:pStyle w:val="Heading3"/>
      </w:pPr>
      <w:r>
        <w:t>Venue details</w:t>
      </w:r>
    </w:p>
    <w:p w14:paraId="5425811F" w14:textId="77777777" w:rsidR="00ED2207" w:rsidRDefault="00ED2207" w:rsidP="00ED2207">
      <w:r w:rsidRPr="00A33078">
        <w:rPr>
          <w:rStyle w:val="Strong"/>
        </w:rPr>
        <w:t>Venue Name:</w:t>
      </w:r>
      <w:r>
        <w:t xml:space="preserve"> [enter venue name]</w:t>
      </w:r>
    </w:p>
    <w:p w14:paraId="3DD75D00" w14:textId="77777777" w:rsidR="00ED2207" w:rsidRDefault="00ED2207" w:rsidP="00ED2207">
      <w:pPr>
        <w:rPr>
          <w:rStyle w:val="Strong"/>
        </w:rPr>
      </w:pPr>
      <w:r w:rsidRPr="00A33078">
        <w:rPr>
          <w:rStyle w:val="Strong"/>
        </w:rPr>
        <w:t xml:space="preserve">Address: </w:t>
      </w:r>
      <w:r>
        <w:t>[enter street address]</w:t>
      </w:r>
    </w:p>
    <w:p w14:paraId="0A17A192" w14:textId="77777777" w:rsidR="00ED2207" w:rsidRDefault="00ED2207" w:rsidP="00ED2207">
      <w:pPr>
        <w:rPr>
          <w:rStyle w:val="Strong"/>
        </w:rPr>
      </w:pPr>
      <w:r w:rsidRPr="00A33078">
        <w:rPr>
          <w:rStyle w:val="Strong"/>
        </w:rPr>
        <w:t>Phone:</w:t>
      </w:r>
      <w:r>
        <w:rPr>
          <w:rStyle w:val="Strong"/>
        </w:rPr>
        <w:t xml:space="preserve"> </w:t>
      </w:r>
      <w:r>
        <w:t>[enter phone]</w:t>
      </w:r>
    </w:p>
    <w:p w14:paraId="479E05FA" w14:textId="184A0319" w:rsidR="00ED2207" w:rsidRDefault="00ED2207" w:rsidP="00ED2207">
      <w:pPr>
        <w:rPr>
          <w:rStyle w:val="Strong"/>
        </w:rPr>
      </w:pPr>
      <w:r w:rsidRPr="00A33078">
        <w:rPr>
          <w:rStyle w:val="Strong"/>
        </w:rPr>
        <w:t>Email:</w:t>
      </w:r>
      <w:r>
        <w:rPr>
          <w:rStyle w:val="Strong"/>
        </w:rPr>
        <w:t xml:space="preserve"> </w:t>
      </w:r>
      <w:r>
        <w:t>[enter email]</w:t>
      </w:r>
    </w:p>
    <w:p w14:paraId="14581A8B" w14:textId="77777777" w:rsidR="00ED2207" w:rsidRDefault="00ED2207" w:rsidP="00ED2207">
      <w:r w:rsidRPr="00A33078">
        <w:rPr>
          <w:rStyle w:val="Strong"/>
        </w:rPr>
        <w:t>Website:</w:t>
      </w:r>
      <w:r>
        <w:rPr>
          <w:rStyle w:val="Strong"/>
        </w:rPr>
        <w:t xml:space="preserve"> </w:t>
      </w:r>
      <w:r>
        <w:t>[enter website address]</w:t>
      </w:r>
    </w:p>
    <w:p w14:paraId="1016CD16" w14:textId="46FAB97F" w:rsidR="00ED2207" w:rsidRDefault="00ED2207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110F2B" w:rsidRPr="0063606D" w14:paraId="32BC1445" w14:textId="77777777" w:rsidTr="00110F2B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322CA0E5" w14:textId="3232E168" w:rsidR="00110F2B" w:rsidRPr="00384F5C" w:rsidRDefault="00ED2207" w:rsidP="00110F2B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Venue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52534B3" w14:textId="77777777" w:rsidR="00110F2B" w:rsidRPr="00384F5C" w:rsidRDefault="00110F2B" w:rsidP="00110F2B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F63AA1E" w14:textId="77777777" w:rsidR="00110F2B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821ABD" w14:textId="77777777" w:rsidR="00110F2B" w:rsidRPr="00384F5C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23489656" w14:textId="0222E266" w:rsidR="00110F2B" w:rsidRPr="00384F5C" w:rsidRDefault="00110F2B" w:rsidP="00110F2B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ED2207" w:rsidRPr="0063606D" w14:paraId="63B4C761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62694A" w14:textId="2DA77909" w:rsidR="00ED2207" w:rsidRPr="0063606D" w:rsidRDefault="00ED2207" w:rsidP="00ED2207">
            <w:pPr>
              <w:pStyle w:val="NoSpacing"/>
              <w:rPr>
                <w:rFonts w:ascii="Arial" w:hAnsi="Arial" w:cs="Arial"/>
              </w:rPr>
            </w:pPr>
            <w:r>
              <w:t>Wheelchair access is available at the main entrance; booking office; performance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6E2DFF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7820D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514A6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A5FBAB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7CBD718B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F5BF52" w14:textId="4AD8B74C" w:rsidR="00ED2207" w:rsidRPr="0063606D" w:rsidRDefault="00ED2207" w:rsidP="00ED2207">
            <w:pPr>
              <w:pStyle w:val="NoSpacing"/>
              <w:rPr>
                <w:rFonts w:ascii="Arial" w:hAnsi="Arial" w:cs="Arial"/>
              </w:rPr>
            </w:pPr>
            <w:r>
              <w:t>Public spaces in the venue are accessible to people using a wheelchair or mobility aid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992B1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D6B57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BB6A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AC1563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7386ED31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31C8953" w14:textId="76FCBB98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There are clear and considerate paths of travel in the venue for people using a wheelchair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CCEFBF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164DDF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B65BE5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F05202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2CA242B8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9712559" w14:textId="58B5A004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Hearing augmentation is present and maintained in public address spaces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B2D241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38B219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15428C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A6CA0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482873E8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B57EE40" w14:textId="4AC8A593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Noise levels in venue are moderated to aid hearing at conversational level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5BB569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4B64C6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65BB6B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D4009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3729201A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674D2BF" w14:textId="0E84D65E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 xml:space="preserve">Pathways and </w:t>
            </w:r>
            <w:proofErr w:type="gramStart"/>
            <w:r>
              <w:t>general public</w:t>
            </w:r>
            <w:proofErr w:type="gramEnd"/>
            <w:r>
              <w:t xml:space="preserve"> areas are well lit for people with low vision or who lip read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C5DFD8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29686B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978998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8652F4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45CDE482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5359E48" w14:textId="19207F16" w:rsidR="00ED2207" w:rsidRPr="00F00BC7" w:rsidRDefault="00ED2207" w:rsidP="00ED2207">
            <w:pPr>
              <w:pStyle w:val="NoSpacing"/>
              <w:rPr>
                <w:rFonts w:cs="Arial"/>
              </w:rPr>
            </w:pPr>
            <w:r w:rsidRPr="00C74284">
              <w:rPr>
                <w:rFonts w:cs="Arial"/>
              </w:rPr>
              <w:t xml:space="preserve">Tactile Ground Surface Indicators are </w:t>
            </w:r>
            <w:r>
              <w:rPr>
                <w:rFonts w:cs="Arial"/>
              </w:rPr>
              <w:t xml:space="preserve">used to mark possible hazards </w:t>
            </w:r>
            <w:proofErr w:type="spellStart"/>
            <w:r>
              <w:rPr>
                <w:rFonts w:cs="Arial"/>
              </w:rPr>
              <w:t>ie</w:t>
            </w:r>
            <w:proofErr w:type="spellEnd"/>
            <w:r>
              <w:rPr>
                <w:rFonts w:cs="Arial"/>
              </w:rPr>
              <w:t>. stairs, ramps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061037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A8E293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08FE04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05A668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599E10B6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2BAA19A" w14:textId="0EB8258B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There are well maintained, accessible amenities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D63C2E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CF8322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E698B4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7CF3B4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24989EBD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40B56B5" w14:textId="498501F7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 xml:space="preserve">Public transport to the venue is accessible </w:t>
            </w:r>
            <w:r w:rsidRPr="007A6D7E">
              <w:t xml:space="preserve">for people in wheelchairs and </w:t>
            </w:r>
            <w:r>
              <w:t>limited mobility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0A0E29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CDFB69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32ADA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3DD170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26B770F4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707440F" w14:textId="0EA92A9D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Transport drop-off / pick-up points are close to main entrance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CAC019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387852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6C915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11AA1A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1E033592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B655AFD" w14:textId="0AD48043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There are clear, accessible pathways from drop off points or carpark to venue entrance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606318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C6589F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42C1DA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1385DD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2121B685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AC301AA" w14:textId="154938CC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lastRenderedPageBreak/>
              <w:t>The drop off zone has kerb cuts in the footpath for wheelchair access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23DCCE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DAA307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AD155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919781D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5388C515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7CE219B" w14:textId="3514B543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There is accessible parking at or near to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EC18A4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7A238C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B26EC7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950959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3BBDE715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6FCB171" w14:textId="767AAC4B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Doors and doorways support people in wheelchairs to open/ close, manoeuvre, enter/ exit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302EEB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84B24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B9385F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3B46CC8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37F079E0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6B3E5B6" w14:textId="5B30BB18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Door handles and bathroom fittings are designed to aid people with limited dexterity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807A9D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ECDE7B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001DC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1F3FAFC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10AE2DB4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68581A2" w14:textId="77867FAD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Service counter heights comply with standards that allow access for a people in a wheelchair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CAFAFE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0BC5A2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A985EF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83F07F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57D784EE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A036C23" w14:textId="7DDD08A1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Reserved seating with considerate sightlines exists for disability access initiatives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585F59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4E8AA2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2956A0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DECFDF6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6E14F5C7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33C9C56" w14:textId="23A10133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Seating for people in wheelchairs is flexible enough to allow for companions to sit together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466E8E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0BF2DC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70C161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B78FD1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4700574B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C9C498F" w14:textId="72B7CCFA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Directional signage in the venue includes disability access with access symbols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BEEA17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2720A3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1BF478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C7E5E9B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6E9CFF59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17CE1C6" w14:textId="103F8FA7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>P</w:t>
            </w:r>
            <w:r w:rsidRPr="006F35FE">
              <w:t>rogram</w:t>
            </w:r>
            <w:r>
              <w:t>, goods &amp; service</w:t>
            </w:r>
            <w:r w:rsidRPr="006F35FE">
              <w:t xml:space="preserve"> information is in </w:t>
            </w:r>
            <w:r>
              <w:t xml:space="preserve">alternate formats </w:t>
            </w:r>
            <w:proofErr w:type="spellStart"/>
            <w:r>
              <w:t>ie</w:t>
            </w:r>
            <w:proofErr w:type="spellEnd"/>
            <w:r>
              <w:t xml:space="preserve">. </w:t>
            </w:r>
            <w:r w:rsidRPr="006F35FE">
              <w:t>web, audio</w:t>
            </w:r>
            <w:r w:rsidRPr="00D74228">
              <w:t xml:space="preserve">, </w:t>
            </w:r>
            <w:r>
              <w:t>print, braille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EE3249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0BEDB1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AA6A9B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C884D6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4A73358F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4260C29" w14:textId="7176C4D1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t xml:space="preserve">Making enquires or booking tickets is through a range of communication </w:t>
            </w:r>
            <w:r w:rsidRPr="00170132">
              <w:t>channels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D4036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851DC1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D32930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DFF97F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24DD8502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2236571" w14:textId="74698D3E" w:rsidR="00ED2207" w:rsidRPr="00F00BC7" w:rsidRDefault="00ED2207" w:rsidP="00ED2207">
            <w:pPr>
              <w:pStyle w:val="NoSpacing"/>
              <w:rPr>
                <w:rFonts w:cs="Arial"/>
              </w:rPr>
            </w:pPr>
            <w:r>
              <w:lastRenderedPageBreak/>
              <w:t>People with disability are represented in media in an inclusive and respectful way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F78B21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A113C1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7FB7B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B8E2B1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2CBC37D6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35808DA" w14:textId="487B4537" w:rsidR="00ED2207" w:rsidRDefault="00ED2207" w:rsidP="00ED2207">
            <w:pPr>
              <w:pStyle w:val="NoSpacing"/>
              <w:rPr>
                <w:rFonts w:cs="Arial"/>
              </w:rPr>
            </w:pPr>
            <w:r>
              <w:t xml:space="preserve">Language in marketing, media and customer service is inclusive and person-centred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87A99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640C89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41AC26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761979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6933A1D8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F499584" w14:textId="76A10CFD" w:rsidR="00ED2207" w:rsidRDefault="00ED2207" w:rsidP="00ED2207">
            <w:pPr>
              <w:pStyle w:val="NoSpacing"/>
              <w:rPr>
                <w:rFonts w:cs="Arial"/>
              </w:rPr>
            </w:pPr>
            <w:r>
              <w:t xml:space="preserve">Accessible performances have been promoted in </w:t>
            </w:r>
            <w:proofErr w:type="gramStart"/>
            <w:r>
              <w:t>main stream</w:t>
            </w:r>
            <w:proofErr w:type="gramEnd"/>
            <w:r>
              <w:t xml:space="preserve"> and in disability media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F9D17A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E61E25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F4FC7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445312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6CDD573A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66D5396" w14:textId="06619D54" w:rsidR="00ED2207" w:rsidRDefault="00ED2207" w:rsidP="00ED2207">
            <w:pPr>
              <w:pStyle w:val="NoSpacing"/>
              <w:rPr>
                <w:rFonts w:cs="Arial"/>
              </w:rPr>
            </w:pPr>
            <w:r>
              <w:br w:type="page"/>
              <w:t>Contact numbers and email are available for queries about the disability services provided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2C8620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22AEE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D5B3DF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622975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2BB45DA2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5F7A6DD" w14:textId="69BA57F8" w:rsidR="00ED2207" w:rsidRPr="00921A14" w:rsidRDefault="00ED2207" w:rsidP="00ED2207">
            <w:pPr>
              <w:pStyle w:val="NoSpacing"/>
              <w:rPr>
                <w:rFonts w:ascii="Arial" w:hAnsi="Arial" w:cs="Arial"/>
              </w:rPr>
            </w:pPr>
            <w:r>
              <w:t>Employees have undertaken disability awareness training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C93437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E50A34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C56022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905B9C4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0906D151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3A0DB4D" w14:textId="6CF727B4" w:rsidR="00ED2207" w:rsidRPr="00921A14" w:rsidRDefault="00ED2207" w:rsidP="00ED2207">
            <w:pPr>
              <w:pStyle w:val="NoSpacing"/>
              <w:rPr>
                <w:rFonts w:ascii="Arial" w:hAnsi="Arial" w:cs="Arial"/>
              </w:rPr>
            </w:pPr>
            <w:r>
              <w:t xml:space="preserve">Employees are available to </w:t>
            </w:r>
            <w:proofErr w:type="gramStart"/>
            <w:r>
              <w:t>provide assistance to</w:t>
            </w:r>
            <w:proofErr w:type="gramEnd"/>
            <w:r>
              <w:t xml:space="preserve">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09FB82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02583B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FFBD81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15D12F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7944AB83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CE22E74" w14:textId="01B20402" w:rsidR="00ED2207" w:rsidRDefault="00ED2207" w:rsidP="00ED2207">
            <w:pPr>
              <w:pStyle w:val="NoSpacing"/>
              <w:rPr>
                <w:rFonts w:cs="Arial"/>
              </w:rPr>
            </w:pPr>
            <w:r>
              <w:t>Emergency exits are clearly marked and are wheelchair accessible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1CD727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76EA27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01C517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F2E4E9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504D3DEC" w14:textId="77777777" w:rsidTr="00936066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61E58B7" w14:textId="1A8F602E" w:rsidR="00ED2207" w:rsidRDefault="00ED2207" w:rsidP="00ED2207">
            <w:pPr>
              <w:pStyle w:val="NoSpacing"/>
              <w:rPr>
                <w:rFonts w:cs="Arial"/>
              </w:rPr>
            </w:pPr>
            <w:r>
              <w:t>There are both audio and visual warning signals in the event of an emergency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E3D59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C44325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0A4AD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CA7090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D2207" w:rsidRPr="0063606D" w14:paraId="6D3FE718" w14:textId="77777777" w:rsidTr="00740A3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115A44C" w14:textId="2FBB8986" w:rsidR="00ED2207" w:rsidRDefault="00ED2207" w:rsidP="00ED2207">
            <w:pPr>
              <w:pStyle w:val="NoSpacing"/>
              <w:rPr>
                <w:rFonts w:cs="Arial"/>
              </w:rPr>
            </w:pPr>
            <w:r>
              <w:t xml:space="preserve">Evacuation procedures support people with disability who may require assistance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4CC1B8" w14:textId="77777777" w:rsidR="00ED2207" w:rsidRPr="0063606D" w:rsidRDefault="00ED2207" w:rsidP="00ED2207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B0559B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D10A22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7E6044" w14:textId="77777777" w:rsidR="00ED2207" w:rsidRDefault="00ED2207" w:rsidP="00ED2207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</w:tbl>
    <w:p w14:paraId="73C51D37" w14:textId="53870C78" w:rsidR="000D455F" w:rsidRDefault="000D455F" w:rsidP="00490571"/>
    <w:p w14:paraId="7EF6358D" w14:textId="77777777" w:rsidR="000D455F" w:rsidRDefault="000D455F">
      <w:pPr>
        <w:spacing w:after="0" w:line="240" w:lineRule="auto"/>
      </w:pPr>
      <w:r>
        <w:br w:type="page"/>
      </w:r>
    </w:p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490571" w:rsidRPr="0063606D" w14:paraId="56B0A9CC" w14:textId="77777777" w:rsidTr="005D2EC4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0B77054B" w14:textId="48A0150B" w:rsidR="00490571" w:rsidRPr="00384F5C" w:rsidRDefault="000D455F" w:rsidP="005D2EC4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D455F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Organisational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012D25A" w14:textId="77777777" w:rsidR="00490571" w:rsidRPr="00384F5C" w:rsidRDefault="00490571" w:rsidP="005D2EC4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1CCB2C" w14:textId="77777777" w:rsidR="00490571" w:rsidRDefault="00490571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4AB0FDA" w14:textId="77777777" w:rsidR="00490571" w:rsidRPr="00384F5C" w:rsidRDefault="00490571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18C193A" w14:textId="77777777" w:rsidR="00490571" w:rsidRPr="00384F5C" w:rsidRDefault="00490571" w:rsidP="005D2EC4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0D455F" w:rsidRPr="0063606D" w14:paraId="5BC2EA42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6EEE3F" w14:textId="0EB85138" w:rsidR="000D455F" w:rsidRPr="00490571" w:rsidRDefault="000D455F" w:rsidP="000D455F">
            <w:pPr>
              <w:pStyle w:val="NoSpacing"/>
            </w:pPr>
            <w:r>
              <w:t>Policies on accessibility are clearly stated and implemented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B6B963" w14:textId="77777777" w:rsidR="000D455F" w:rsidRPr="0063606D" w:rsidRDefault="000D455F" w:rsidP="000D455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F2BDEA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6CA7A1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679B71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0D455F" w:rsidRPr="0063606D" w14:paraId="6542C5BA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795BD80" w14:textId="77777777" w:rsidR="000D455F" w:rsidRDefault="000D455F" w:rsidP="000D455F">
            <w:pPr>
              <w:pStyle w:val="BodyText2"/>
              <w:tabs>
                <w:tab w:val="left" w:pos="0"/>
              </w:tabs>
            </w:pPr>
            <w:r>
              <w:t xml:space="preserve">There is an active disability action plan </w:t>
            </w:r>
          </w:p>
          <w:p w14:paraId="5FA1C643" w14:textId="501097A0" w:rsidR="000D455F" w:rsidRPr="00490571" w:rsidRDefault="000D455F" w:rsidP="000D455F">
            <w:pPr>
              <w:pStyle w:val="NoSpacing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3FD27A" w14:textId="77777777" w:rsidR="000D455F" w:rsidRPr="0063606D" w:rsidRDefault="000D455F" w:rsidP="000D455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7A7FDE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88308E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BB874F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0D455F" w:rsidRPr="0063606D" w14:paraId="7F629383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F386F4D" w14:textId="5B2C8698" w:rsidR="000D455F" w:rsidRDefault="000D455F" w:rsidP="000D455F">
            <w:pPr>
              <w:pStyle w:val="NoSpacing"/>
            </w:pPr>
            <w:r>
              <w:t>Consultation on accessibility is on-going with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12B085" w14:textId="77777777" w:rsidR="000D455F" w:rsidRPr="0063606D" w:rsidRDefault="000D455F" w:rsidP="000D455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0AA619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92E760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C2FCA2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0D455F" w:rsidRPr="0063606D" w14:paraId="4DAC6BF4" w14:textId="77777777" w:rsidTr="00C07935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F347D18" w14:textId="563465C3" w:rsidR="000D455F" w:rsidRPr="00F00BC7" w:rsidRDefault="000D455F" w:rsidP="000D455F">
            <w:pPr>
              <w:pStyle w:val="NoSpacing"/>
              <w:rPr>
                <w:rFonts w:cs="Arial"/>
              </w:rPr>
            </w:pPr>
            <w:r>
              <w:t>Targeted disability community have been consulted when programming access initiatives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AFCBD3" w14:textId="77777777" w:rsidR="000D455F" w:rsidRPr="0063606D" w:rsidRDefault="000D455F" w:rsidP="000D455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2B29C7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EEA61D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6772D0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0D455F" w:rsidRPr="0063606D" w14:paraId="74CB7879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7C31ACB" w14:textId="6FCD0785" w:rsidR="000D455F" w:rsidRDefault="000D455F" w:rsidP="000D455F">
            <w:pPr>
              <w:pStyle w:val="NoSpacing"/>
            </w:pPr>
            <w:r>
              <w:t>There is a budget line for accessibility initiatives in each department or area or work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E79C3C" w14:textId="77777777" w:rsidR="000D455F" w:rsidRPr="0063606D" w:rsidRDefault="000D455F" w:rsidP="000D455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1965E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2758E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F4A784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0D455F" w:rsidRPr="0063606D" w14:paraId="0476A171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CDA5FF2" w14:textId="1085B4A5" w:rsidR="000D455F" w:rsidRDefault="000D455F" w:rsidP="00766D51">
            <w:pPr>
              <w:pStyle w:val="BodyText2"/>
              <w:tabs>
                <w:tab w:val="left" w:pos="0"/>
              </w:tabs>
            </w:pPr>
            <w:r>
              <w:t>There are people with disability on staff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9FA986" w14:textId="77777777" w:rsidR="000D455F" w:rsidRPr="0063606D" w:rsidRDefault="000D455F" w:rsidP="000D455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372EA7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05A69E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D5CF17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0D455F" w:rsidRPr="0063606D" w14:paraId="4915DB22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3CCCDB7" w14:textId="39CBC967" w:rsidR="000D455F" w:rsidRDefault="000D455F" w:rsidP="000D455F">
            <w:pPr>
              <w:pStyle w:val="NoSpacing"/>
            </w:pPr>
            <w:r>
              <w:t>There is regular training in disability awareness and equity for employees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FCACBD" w14:textId="77777777" w:rsidR="000D455F" w:rsidRPr="0063606D" w:rsidRDefault="000D455F" w:rsidP="000D455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7B9E89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7DB95E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3D55EB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0D455F" w:rsidRPr="0063606D" w14:paraId="12967B10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CE7F132" w14:textId="7170F8F7" w:rsidR="000D455F" w:rsidRDefault="000D455F" w:rsidP="000D455F">
            <w:pPr>
              <w:pStyle w:val="NoSpacing"/>
            </w:pPr>
            <w:r>
              <w:t>Website complies with W3C’s Web Content Accessibility Guidelines (WCAG 2.0)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1CE1B4" w14:textId="77777777" w:rsidR="000D455F" w:rsidRPr="0063606D" w:rsidRDefault="000D455F" w:rsidP="000D455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0BAEB9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3AE49F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1617372" w14:textId="77777777" w:rsidR="000D455F" w:rsidRDefault="000D455F" w:rsidP="000D455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0AC1F1F" w14:textId="77777777" w:rsidR="004D70EE" w:rsidRDefault="004D70EE" w:rsidP="00490571"/>
    <w:p w14:paraId="4686AD09" w14:textId="78A88361" w:rsidR="00E725D0" w:rsidRDefault="00E725D0" w:rsidP="00E725D0">
      <w:pPr>
        <w:pStyle w:val="Heading2"/>
      </w:pPr>
      <w:r>
        <w:t xml:space="preserve">Assessment of Results </w:t>
      </w:r>
    </w:p>
    <w:p w14:paraId="37A910C1" w14:textId="77777777" w:rsidR="00E725D0" w:rsidRDefault="00E725D0" w:rsidP="00E725D0">
      <w:pPr>
        <w:pStyle w:val="Heading3"/>
      </w:pPr>
      <w:r>
        <w:t>Priority Action and Goals</w:t>
      </w:r>
    </w:p>
    <w:p w14:paraId="6BF497D3" w14:textId="228042FB" w:rsidR="00E725D0" w:rsidRPr="00E725D0" w:rsidRDefault="00E725D0" w:rsidP="00E725D0">
      <w:pPr>
        <w:pStyle w:val="ListParagraph"/>
        <w:numPr>
          <w:ilvl w:val="0"/>
          <w:numId w:val="27"/>
        </w:numPr>
        <w:tabs>
          <w:tab w:val="left" w:pos="426"/>
          <w:tab w:val="left" w:pos="4253"/>
        </w:tabs>
        <w:ind w:right="-46"/>
        <w:outlineLvl w:val="0"/>
        <w:rPr>
          <w:rFonts w:cs="Arial"/>
        </w:rPr>
      </w:pPr>
      <w:r>
        <w:rPr>
          <w:rFonts w:cs="Arial"/>
        </w:rPr>
        <w:t>[enter text]</w:t>
      </w:r>
    </w:p>
    <w:p w14:paraId="157FC4CC" w14:textId="77777777" w:rsidR="00E725D0" w:rsidRDefault="00E725D0" w:rsidP="00E725D0">
      <w:pPr>
        <w:pStyle w:val="Heading3"/>
      </w:pPr>
      <w:r>
        <w:t>References and Links</w:t>
      </w:r>
    </w:p>
    <w:p w14:paraId="3B08DA35" w14:textId="7C59F25A" w:rsidR="00766D51" w:rsidRPr="00B45F95" w:rsidRDefault="006F32DB" w:rsidP="00766D51">
      <w:pPr>
        <w:rPr>
          <w:rFonts w:cs="Arial"/>
        </w:rPr>
      </w:pPr>
      <w:hyperlink r:id="rId10" w:tooltip="Access Code Australian Standards summary" w:history="1">
        <w:r w:rsidR="00766D51">
          <w:rPr>
            <w:rStyle w:val="Hyperlink"/>
            <w:rFonts w:cs="Arial"/>
          </w:rPr>
          <w:t>Summary of the main Australian Standards referenced in the Access Code</w:t>
        </w:r>
      </w:hyperlink>
    </w:p>
    <w:p w14:paraId="5698D2C9" w14:textId="4468BDC4" w:rsidR="00766D51" w:rsidRPr="00B45F95" w:rsidRDefault="006F32DB" w:rsidP="00766D51">
      <w:pPr>
        <w:rPr>
          <w:rFonts w:cs="Arial"/>
        </w:rPr>
      </w:pPr>
      <w:hyperlink r:id="rId11" w:tooltip="Building and construction standards" w:history="1">
        <w:r w:rsidR="00766D51">
          <w:rPr>
            <w:rStyle w:val="Hyperlink"/>
            <w:rFonts w:cs="Arial"/>
          </w:rPr>
          <w:t>Disability (Access to Premises – Buildings) Standards, 2010</w:t>
        </w:r>
      </w:hyperlink>
    </w:p>
    <w:p w14:paraId="6F91C0E1" w14:textId="2F3ADBFD" w:rsidR="00766D51" w:rsidRPr="00B45F95" w:rsidRDefault="006F32DB" w:rsidP="00766D51">
      <w:pPr>
        <w:pStyle w:val="BodyText2"/>
      </w:pPr>
      <w:hyperlink r:id="rId12" w:tooltip="131 500 Public transport" w:history="1">
        <w:r w:rsidR="00766D51">
          <w:rPr>
            <w:rStyle w:val="Hyperlink"/>
          </w:rPr>
          <w:t>Public transport re: accessible transport</w:t>
        </w:r>
      </w:hyperlink>
    </w:p>
    <w:p w14:paraId="131B473C" w14:textId="300B0AFA" w:rsidR="00766D51" w:rsidRPr="00B45F95" w:rsidRDefault="006F32DB" w:rsidP="00766D51">
      <w:hyperlink r:id="rId13" w:tooltip="National Arts and Disability Strategy" w:history="1">
        <w:r w:rsidR="00766D51">
          <w:rPr>
            <w:rStyle w:val="Hyperlink"/>
          </w:rPr>
          <w:t>National Arts and Disability Strategy</w:t>
        </w:r>
      </w:hyperlink>
    </w:p>
    <w:p w14:paraId="0D6D7D2B" w14:textId="1E2A4A56" w:rsidR="00766D51" w:rsidRPr="00B45F95" w:rsidRDefault="006F32DB" w:rsidP="00766D51">
      <w:pPr>
        <w:rPr>
          <w:rFonts w:cs="Arial"/>
        </w:rPr>
      </w:pPr>
      <w:hyperlink r:id="rId14" w:tooltip="DDA 1992" w:history="1">
        <w:r w:rsidR="00766D51">
          <w:rPr>
            <w:rStyle w:val="Hyperlink"/>
            <w:rFonts w:cs="Arial"/>
          </w:rPr>
          <w:t>Disability Discrimination Act (1992), Regulations and Amendments</w:t>
        </w:r>
      </w:hyperlink>
    </w:p>
    <w:p w14:paraId="3C67979D" w14:textId="78110AF8" w:rsidR="00766D51" w:rsidRDefault="006F32DB" w:rsidP="00766D51">
      <w:pPr>
        <w:ind w:right="-991"/>
        <w:rPr>
          <w:rStyle w:val="Hyperlink"/>
          <w:rFonts w:cs="Arial"/>
        </w:rPr>
      </w:pPr>
      <w:hyperlink r:id="rId15" w:tooltip="Australian Human Rights Commission" w:history="1">
        <w:r w:rsidR="00766D51">
          <w:rPr>
            <w:rStyle w:val="Hyperlink"/>
            <w:rFonts w:cs="Arial"/>
          </w:rPr>
          <w:t>Australian Human Rights Commission</w:t>
        </w:r>
      </w:hyperlink>
    </w:p>
    <w:p w14:paraId="631F6054" w14:textId="0B87A0A2" w:rsidR="00490571" w:rsidRPr="00C5373F" w:rsidRDefault="006F32DB" w:rsidP="00C5373F">
      <w:pPr>
        <w:ind w:right="-991"/>
        <w:rPr>
          <w:rFonts w:cs="Arial"/>
        </w:rPr>
      </w:pPr>
      <w:hyperlink r:id="rId16" w:tooltip="Accessible Arts resources" w:history="1">
        <w:r w:rsidR="00C5373F">
          <w:rPr>
            <w:rStyle w:val="Hyperlink"/>
            <w:rFonts w:cs="Arial"/>
          </w:rPr>
          <w:t>Accessible Arts</w:t>
        </w:r>
      </w:hyperlink>
    </w:p>
    <w:sectPr w:rsidR="00490571" w:rsidRPr="00C5373F" w:rsidSect="00E02983">
      <w:headerReference w:type="default" r:id="rId17"/>
      <w:footerReference w:type="default" r:id="rId18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5CB2" w14:textId="77777777" w:rsidR="0022554B" w:rsidRDefault="0022554B">
      <w:r>
        <w:separator/>
      </w:r>
    </w:p>
  </w:endnote>
  <w:endnote w:type="continuationSeparator" w:id="0">
    <w:p w14:paraId="5B40A287" w14:textId="77777777" w:rsidR="0022554B" w:rsidRDefault="0022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4" w14:textId="61A83EE2" w:rsidR="009E77C0" w:rsidRPr="00EA430D" w:rsidRDefault="002B7C35" w:rsidP="000713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 w:rsidRPr="002B7C35">
      <w:t>Accessibility Starter Kit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F41B" w14:textId="77777777" w:rsidR="0022554B" w:rsidRDefault="0022554B">
      <w:r w:rsidRPr="00196966">
        <w:rPr>
          <w:color w:val="D33278"/>
        </w:rPr>
        <w:separator/>
      </w:r>
    </w:p>
  </w:footnote>
  <w:footnote w:type="continuationSeparator" w:id="0">
    <w:p w14:paraId="1E342207" w14:textId="77777777" w:rsidR="0022554B" w:rsidRDefault="0022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AC7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4A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F67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AEC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AA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6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68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69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7D37D16"/>
    <w:multiLevelType w:val="hybridMultilevel"/>
    <w:tmpl w:val="350C5E3E"/>
    <w:lvl w:ilvl="0" w:tplc="F36E4DB0">
      <w:start w:val="1"/>
      <w:numFmt w:val="bullet"/>
      <w:lvlText w:val=""/>
      <w:lvlJc w:val="left"/>
      <w:pPr>
        <w:ind w:left="644" w:hanging="360"/>
      </w:pPr>
      <w:rPr>
        <w:rFonts w:ascii="Wingdings 2" w:hAnsi="Wingdings 2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472BCA"/>
    <w:multiLevelType w:val="hybridMultilevel"/>
    <w:tmpl w:val="619C2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019347">
    <w:abstractNumId w:val="25"/>
  </w:num>
  <w:num w:numId="2" w16cid:durableId="1815022400">
    <w:abstractNumId w:val="20"/>
  </w:num>
  <w:num w:numId="3" w16cid:durableId="1076241179">
    <w:abstractNumId w:val="21"/>
  </w:num>
  <w:num w:numId="4" w16cid:durableId="618951927">
    <w:abstractNumId w:val="12"/>
  </w:num>
  <w:num w:numId="5" w16cid:durableId="1363436125">
    <w:abstractNumId w:val="18"/>
  </w:num>
  <w:num w:numId="6" w16cid:durableId="1508406273">
    <w:abstractNumId w:val="26"/>
  </w:num>
  <w:num w:numId="7" w16cid:durableId="1493329575">
    <w:abstractNumId w:val="24"/>
  </w:num>
  <w:num w:numId="8" w16cid:durableId="1626503672">
    <w:abstractNumId w:val="17"/>
  </w:num>
  <w:num w:numId="9" w16cid:durableId="2050378346">
    <w:abstractNumId w:val="27"/>
  </w:num>
  <w:num w:numId="10" w16cid:durableId="248661459">
    <w:abstractNumId w:val="22"/>
  </w:num>
  <w:num w:numId="11" w16cid:durableId="2100978534">
    <w:abstractNumId w:val="8"/>
  </w:num>
  <w:num w:numId="12" w16cid:durableId="1259220891">
    <w:abstractNumId w:val="0"/>
  </w:num>
  <w:num w:numId="13" w16cid:durableId="26566505">
    <w:abstractNumId w:val="9"/>
  </w:num>
  <w:num w:numId="14" w16cid:durableId="1200362525">
    <w:abstractNumId w:val="7"/>
  </w:num>
  <w:num w:numId="15" w16cid:durableId="1830293808">
    <w:abstractNumId w:val="6"/>
  </w:num>
  <w:num w:numId="16" w16cid:durableId="1418788902">
    <w:abstractNumId w:val="5"/>
  </w:num>
  <w:num w:numId="17" w16cid:durableId="642468085">
    <w:abstractNumId w:val="4"/>
  </w:num>
  <w:num w:numId="18" w16cid:durableId="1999770242">
    <w:abstractNumId w:val="3"/>
  </w:num>
  <w:num w:numId="19" w16cid:durableId="46953497">
    <w:abstractNumId w:val="2"/>
  </w:num>
  <w:num w:numId="20" w16cid:durableId="1908690169">
    <w:abstractNumId w:val="1"/>
  </w:num>
  <w:num w:numId="21" w16cid:durableId="633143915">
    <w:abstractNumId w:val="11"/>
  </w:num>
  <w:num w:numId="22" w16cid:durableId="1617834632">
    <w:abstractNumId w:val="23"/>
  </w:num>
  <w:num w:numId="23" w16cid:durableId="1511337156">
    <w:abstractNumId w:val="16"/>
  </w:num>
  <w:num w:numId="24" w16cid:durableId="557479021">
    <w:abstractNumId w:val="14"/>
  </w:num>
  <w:num w:numId="25" w16cid:durableId="1385716219">
    <w:abstractNumId w:val="10"/>
  </w:num>
  <w:num w:numId="26" w16cid:durableId="928344773">
    <w:abstractNumId w:val="19"/>
  </w:num>
  <w:num w:numId="27" w16cid:durableId="417798306">
    <w:abstractNumId w:val="15"/>
  </w:num>
  <w:num w:numId="28" w16cid:durableId="1761178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C0"/>
    <w:rsid w:val="0001479E"/>
    <w:rsid w:val="00037061"/>
    <w:rsid w:val="000713D4"/>
    <w:rsid w:val="000816DC"/>
    <w:rsid w:val="000869A2"/>
    <w:rsid w:val="000B096D"/>
    <w:rsid w:val="000C3F2A"/>
    <w:rsid w:val="000C50E2"/>
    <w:rsid w:val="000D455F"/>
    <w:rsid w:val="000E1730"/>
    <w:rsid w:val="000F468E"/>
    <w:rsid w:val="00110F2B"/>
    <w:rsid w:val="00114559"/>
    <w:rsid w:val="00117014"/>
    <w:rsid w:val="001305C2"/>
    <w:rsid w:val="001308BE"/>
    <w:rsid w:val="0014602D"/>
    <w:rsid w:val="00162DE0"/>
    <w:rsid w:val="00167F46"/>
    <w:rsid w:val="0017323B"/>
    <w:rsid w:val="00174409"/>
    <w:rsid w:val="001749A9"/>
    <w:rsid w:val="00190329"/>
    <w:rsid w:val="00196966"/>
    <w:rsid w:val="001B2BF8"/>
    <w:rsid w:val="001B7492"/>
    <w:rsid w:val="001C52EA"/>
    <w:rsid w:val="001C547B"/>
    <w:rsid w:val="001E59C3"/>
    <w:rsid w:val="001F267A"/>
    <w:rsid w:val="00214D23"/>
    <w:rsid w:val="0022554B"/>
    <w:rsid w:val="00233F3F"/>
    <w:rsid w:val="00251253"/>
    <w:rsid w:val="00255297"/>
    <w:rsid w:val="00267A59"/>
    <w:rsid w:val="002B7C35"/>
    <w:rsid w:val="002D4B46"/>
    <w:rsid w:val="002E1FEE"/>
    <w:rsid w:val="002F4905"/>
    <w:rsid w:val="003065C9"/>
    <w:rsid w:val="00312425"/>
    <w:rsid w:val="00325BD7"/>
    <w:rsid w:val="003377D3"/>
    <w:rsid w:val="00340A51"/>
    <w:rsid w:val="00344D69"/>
    <w:rsid w:val="003505DA"/>
    <w:rsid w:val="00376260"/>
    <w:rsid w:val="00381D52"/>
    <w:rsid w:val="00384F5C"/>
    <w:rsid w:val="003A11AB"/>
    <w:rsid w:val="003A1279"/>
    <w:rsid w:val="003A387C"/>
    <w:rsid w:val="003A3B28"/>
    <w:rsid w:val="003B2286"/>
    <w:rsid w:val="003C552E"/>
    <w:rsid w:val="003F5F31"/>
    <w:rsid w:val="004316A5"/>
    <w:rsid w:val="004703C4"/>
    <w:rsid w:val="0047477A"/>
    <w:rsid w:val="00477EA2"/>
    <w:rsid w:val="00490571"/>
    <w:rsid w:val="004B7132"/>
    <w:rsid w:val="004D70EE"/>
    <w:rsid w:val="0050746E"/>
    <w:rsid w:val="0050779D"/>
    <w:rsid w:val="00521685"/>
    <w:rsid w:val="00523644"/>
    <w:rsid w:val="005250BA"/>
    <w:rsid w:val="00525207"/>
    <w:rsid w:val="005330B7"/>
    <w:rsid w:val="005403DF"/>
    <w:rsid w:val="00546C52"/>
    <w:rsid w:val="00564C34"/>
    <w:rsid w:val="005661E7"/>
    <w:rsid w:val="005705E3"/>
    <w:rsid w:val="005A2D28"/>
    <w:rsid w:val="005B7F96"/>
    <w:rsid w:val="005C56D6"/>
    <w:rsid w:val="005D6B2F"/>
    <w:rsid w:val="005F44F2"/>
    <w:rsid w:val="00615DFB"/>
    <w:rsid w:val="00623834"/>
    <w:rsid w:val="006322F4"/>
    <w:rsid w:val="00641C16"/>
    <w:rsid w:val="00641C31"/>
    <w:rsid w:val="00641F6C"/>
    <w:rsid w:val="00697FC0"/>
    <w:rsid w:val="006A3D09"/>
    <w:rsid w:val="006B5D96"/>
    <w:rsid w:val="006B75CB"/>
    <w:rsid w:val="006C5EDB"/>
    <w:rsid w:val="006D0707"/>
    <w:rsid w:val="006F32DB"/>
    <w:rsid w:val="006F782A"/>
    <w:rsid w:val="0070080F"/>
    <w:rsid w:val="007236F0"/>
    <w:rsid w:val="00724144"/>
    <w:rsid w:val="00742D93"/>
    <w:rsid w:val="00766D51"/>
    <w:rsid w:val="0076792D"/>
    <w:rsid w:val="00767A89"/>
    <w:rsid w:val="00776D4F"/>
    <w:rsid w:val="00781B35"/>
    <w:rsid w:val="007A1CEA"/>
    <w:rsid w:val="007A4D2F"/>
    <w:rsid w:val="007B0334"/>
    <w:rsid w:val="007E248C"/>
    <w:rsid w:val="00801A50"/>
    <w:rsid w:val="00841AE0"/>
    <w:rsid w:val="00845C9E"/>
    <w:rsid w:val="00853180"/>
    <w:rsid w:val="00853F6D"/>
    <w:rsid w:val="00855ECB"/>
    <w:rsid w:val="008739E3"/>
    <w:rsid w:val="00890FA4"/>
    <w:rsid w:val="00897E3E"/>
    <w:rsid w:val="008A1AC5"/>
    <w:rsid w:val="008B715A"/>
    <w:rsid w:val="008D2C5D"/>
    <w:rsid w:val="008F2E75"/>
    <w:rsid w:val="008F7FAD"/>
    <w:rsid w:val="0094641B"/>
    <w:rsid w:val="00952672"/>
    <w:rsid w:val="00967374"/>
    <w:rsid w:val="00973048"/>
    <w:rsid w:val="00980521"/>
    <w:rsid w:val="00995A2C"/>
    <w:rsid w:val="009B2558"/>
    <w:rsid w:val="009E77C0"/>
    <w:rsid w:val="00A0788A"/>
    <w:rsid w:val="00A23125"/>
    <w:rsid w:val="00A33078"/>
    <w:rsid w:val="00A543A2"/>
    <w:rsid w:val="00A95AB7"/>
    <w:rsid w:val="00AE1594"/>
    <w:rsid w:val="00AE755E"/>
    <w:rsid w:val="00AF7883"/>
    <w:rsid w:val="00B04B60"/>
    <w:rsid w:val="00B269E1"/>
    <w:rsid w:val="00B474FB"/>
    <w:rsid w:val="00B60B24"/>
    <w:rsid w:val="00B615C0"/>
    <w:rsid w:val="00B66B1E"/>
    <w:rsid w:val="00B72573"/>
    <w:rsid w:val="00B82B09"/>
    <w:rsid w:val="00B91E92"/>
    <w:rsid w:val="00BA1597"/>
    <w:rsid w:val="00BA6004"/>
    <w:rsid w:val="00BB3374"/>
    <w:rsid w:val="00BC4F57"/>
    <w:rsid w:val="00BF0E29"/>
    <w:rsid w:val="00C01FD0"/>
    <w:rsid w:val="00C02406"/>
    <w:rsid w:val="00C12141"/>
    <w:rsid w:val="00C2347E"/>
    <w:rsid w:val="00C47787"/>
    <w:rsid w:val="00C51317"/>
    <w:rsid w:val="00C5373F"/>
    <w:rsid w:val="00C66C87"/>
    <w:rsid w:val="00CB4A3F"/>
    <w:rsid w:val="00CB55B0"/>
    <w:rsid w:val="00CE3E29"/>
    <w:rsid w:val="00CF327A"/>
    <w:rsid w:val="00D11726"/>
    <w:rsid w:val="00D34B12"/>
    <w:rsid w:val="00D410CC"/>
    <w:rsid w:val="00D41237"/>
    <w:rsid w:val="00D5396C"/>
    <w:rsid w:val="00D65EF1"/>
    <w:rsid w:val="00D83EEC"/>
    <w:rsid w:val="00D8497A"/>
    <w:rsid w:val="00D91ED6"/>
    <w:rsid w:val="00D97457"/>
    <w:rsid w:val="00DA281A"/>
    <w:rsid w:val="00DB10BE"/>
    <w:rsid w:val="00DB604C"/>
    <w:rsid w:val="00DD7D05"/>
    <w:rsid w:val="00E02983"/>
    <w:rsid w:val="00E10516"/>
    <w:rsid w:val="00E17D93"/>
    <w:rsid w:val="00E21203"/>
    <w:rsid w:val="00E725D0"/>
    <w:rsid w:val="00E73245"/>
    <w:rsid w:val="00EA430D"/>
    <w:rsid w:val="00EC60CF"/>
    <w:rsid w:val="00ED2207"/>
    <w:rsid w:val="00ED6660"/>
    <w:rsid w:val="00EE10C7"/>
    <w:rsid w:val="00EF0513"/>
    <w:rsid w:val="00EF7967"/>
    <w:rsid w:val="00EF7BE3"/>
    <w:rsid w:val="00F0421F"/>
    <w:rsid w:val="00F1084A"/>
    <w:rsid w:val="00F12D43"/>
    <w:rsid w:val="00F14E17"/>
    <w:rsid w:val="00F3629E"/>
    <w:rsid w:val="00F45D14"/>
    <w:rsid w:val="00F46AA2"/>
    <w:rsid w:val="00F65531"/>
    <w:rsid w:val="00F73868"/>
    <w:rsid w:val="00F74FF2"/>
    <w:rsid w:val="00F829B0"/>
    <w:rsid w:val="00F85A63"/>
    <w:rsid w:val="00FA32DC"/>
    <w:rsid w:val="00FA3E64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8ADE"/>
  <w15:docId w15:val="{2036D2B8-3665-43CF-BBAC-BD8681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1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AB"/>
    <w:pPr>
      <w:widowControl w:val="0"/>
      <w:pBdr>
        <w:top w:val="nil"/>
        <w:left w:val="nil"/>
        <w:bottom w:val="nil"/>
        <w:right w:val="nil"/>
        <w:between w:val="nil"/>
      </w:pBdr>
      <w:spacing w:before="24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1AB"/>
    <w:pPr>
      <w:keepNext/>
      <w:keepLines/>
      <w:spacing w:before="360" w:after="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3A11AB"/>
    <w:rPr>
      <w:rFonts w:ascii="Arial" w:eastAsiaTheme="majorEastAsia" w:hAnsi="Arial" w:cstheme="majorBidi"/>
      <w:b/>
      <w:bCs/>
      <w:color w:val="D33278"/>
      <w:sz w:val="40"/>
      <w:szCs w:val="26"/>
      <w:lang w:val="en-AU"/>
    </w:rPr>
  </w:style>
  <w:style w:type="paragraph" w:styleId="NoSpacing">
    <w:name w:val="No Spacing"/>
    <w:uiPriority w:val="1"/>
    <w:rsid w:val="00B60B24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3A11AB"/>
    <w:rPr>
      <w:rFonts w:ascii="Arial" w:hAnsi="Arial"/>
      <w:b/>
      <w:sz w:val="48"/>
      <w:lang w:val="en-AU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E21203"/>
    <w:pPr>
      <w:numPr>
        <w:numId w:val="13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character" w:customStyle="1" w:styleId="normaltextrun">
    <w:name w:val="normaltextrun"/>
    <w:basedOn w:val="DefaultParagraphFont"/>
    <w:rsid w:val="00801A50"/>
  </w:style>
  <w:style w:type="paragraph" w:styleId="BodyText2">
    <w:name w:val="Body Text 2"/>
    <w:aliases w:val="Body Text AA"/>
    <w:basedOn w:val="Normal"/>
    <w:link w:val="BodyText2Char"/>
    <w:unhideWhenUsed/>
    <w:rsid w:val="00110F2B"/>
    <w:pPr>
      <w:spacing w:after="120" w:line="480" w:lineRule="auto"/>
    </w:pPr>
  </w:style>
  <w:style w:type="character" w:customStyle="1" w:styleId="BodyText2Char">
    <w:name w:val="Body Text 2 Char"/>
    <w:aliases w:val="Body Text AA Char"/>
    <w:basedOn w:val="DefaultParagraphFont"/>
    <w:link w:val="BodyText2"/>
    <w:rsid w:val="00110F2B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mc.gov.au/publications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131500.com.au/plan-your-trip/accessible-transpor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arts.net.au/resourc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g.gov.au/premisesstandard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umanrights.gov.au/disability_rights/index.html" TargetMode="External"/><Relationship Id="rId10" Type="http://schemas.openxmlformats.org/officeDocument/2006/relationships/hyperlink" Target="http://www.ag.gov.au/www/agd/rwpattach.nsf/VAP/(3A6790B96C927794AF1031D9395C5C20)~Summary+of+main+Australian+Standards+referenced+in+the+Access+Code.pdf/$file/Summary+of+main+Australian+Standards+referenced+in+the+Access+Code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austlii.edu.au/au/legis/cth/consol_act/dda1992264/" TargetMode="Externa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Accessibility Starter Kit</vt:lpstr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Accessibility Starter Kit</dc:title>
  <dc:creator>Morwenna Collett</dc:creator>
  <cp:lastModifiedBy>Rachel Musgrove</cp:lastModifiedBy>
  <cp:revision>2</cp:revision>
  <dcterms:created xsi:type="dcterms:W3CDTF">2022-08-19T05:53:00Z</dcterms:created>
  <dcterms:modified xsi:type="dcterms:W3CDTF">2022-08-19T05:53:00Z</dcterms:modified>
</cp:coreProperties>
</file>