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D693" w14:textId="671EB856" w:rsidR="000869A2" w:rsidRDefault="00697FC0" w:rsidP="007236F0">
      <w:pPr>
        <w:spacing w:after="0"/>
        <w:rPr>
          <w:b/>
          <w:sz w:val="48"/>
        </w:rPr>
      </w:pPr>
      <w:r>
        <w:rPr>
          <w:noProof/>
        </w:rPr>
        <w:drawing>
          <wp:inline distT="0" distB="0" distL="0" distR="0" wp14:anchorId="20929A41" wp14:editId="22C32936">
            <wp:extent cx="5270500" cy="1230630"/>
            <wp:effectExtent l="0" t="0" r="7620" b="5715"/>
            <wp:docPr id="1" name="Picture 1" descr="Accessible Arts &amp; Access Accessible Arts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ccessible Arts &amp; Access Accessible Arts logos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230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DD3BF" w14:textId="77777777" w:rsidR="00A33078" w:rsidRDefault="00A33078" w:rsidP="00A33078">
      <w:pPr>
        <w:pStyle w:val="Heading1"/>
      </w:pPr>
      <w:bookmarkStart w:id="0" w:name="_Toc106113402"/>
      <w:r>
        <w:t>Venue Checklist</w:t>
      </w:r>
    </w:p>
    <w:p w14:paraId="5CF0F8D0" w14:textId="77777777" w:rsidR="00A33078" w:rsidRDefault="00A33078" w:rsidP="00A33078">
      <w:pPr>
        <w:pStyle w:val="Heading2"/>
      </w:pPr>
      <w:r>
        <w:t>2. Building Maintenance and Access</w:t>
      </w:r>
    </w:p>
    <w:p w14:paraId="238626C5" w14:textId="77777777" w:rsidR="00A33078" w:rsidRPr="00A33078" w:rsidRDefault="00A33078" w:rsidP="00060878">
      <w:r w:rsidRPr="00A33078">
        <w:t xml:space="preserve">The following statements are best addressed by the Venue </w:t>
      </w:r>
      <w:proofErr w:type="gramStart"/>
      <w:r w:rsidRPr="00A33078">
        <w:t>Manager, and</w:t>
      </w:r>
      <w:proofErr w:type="gramEnd"/>
      <w:r w:rsidRPr="00A33078">
        <w:t xml:space="preserve"> checked on a regular basis. These statements aim to identify opportunities for reviewing access and increasing inclusive practices. </w:t>
      </w:r>
    </w:p>
    <w:p w14:paraId="6C8A19EC" w14:textId="488C58AD" w:rsidR="00A33078" w:rsidRDefault="00A33078" w:rsidP="00060878">
      <w:r w:rsidRPr="00A33078">
        <w:t xml:space="preserve">Further information and explanation of some terms are on the Venue Information sheet. Compliance for access in public buildings are detailed in Disability (Access to Premises – Buildings) Standards 2010 and Australian Standards. </w:t>
      </w:r>
    </w:p>
    <w:p w14:paraId="1AD28895" w14:textId="77777777" w:rsidR="00110F2B" w:rsidRPr="00A33078" w:rsidRDefault="00110F2B" w:rsidP="00110F2B">
      <w:pPr>
        <w:pStyle w:val="Heading3"/>
      </w:pPr>
      <w:r>
        <w:t>Venue details</w:t>
      </w:r>
    </w:p>
    <w:p w14:paraId="19CE6FAF" w14:textId="2C7984B0" w:rsidR="00110F2B" w:rsidRDefault="00110F2B" w:rsidP="00110F2B">
      <w:r w:rsidRPr="00A33078">
        <w:rPr>
          <w:rStyle w:val="Strong"/>
        </w:rPr>
        <w:t>Venue Name:</w:t>
      </w:r>
      <w:r>
        <w:t xml:space="preserve"> </w:t>
      </w:r>
      <w:r w:rsidR="003A387C">
        <w:t>[enter venue name]</w:t>
      </w:r>
    </w:p>
    <w:p w14:paraId="1F9F3EDA" w14:textId="7326DF5A" w:rsidR="00110F2B" w:rsidRDefault="00110F2B" w:rsidP="00110F2B">
      <w:pPr>
        <w:rPr>
          <w:rStyle w:val="Strong"/>
        </w:rPr>
      </w:pPr>
      <w:r w:rsidRPr="00A33078">
        <w:rPr>
          <w:rStyle w:val="Strong"/>
        </w:rPr>
        <w:t xml:space="preserve">Address: </w:t>
      </w:r>
      <w:r w:rsidR="003A387C">
        <w:t>[enter street address]</w:t>
      </w:r>
    </w:p>
    <w:p w14:paraId="3B3B0677" w14:textId="0C842DA1" w:rsidR="00110F2B" w:rsidRDefault="00110F2B" w:rsidP="00110F2B">
      <w:pPr>
        <w:rPr>
          <w:rStyle w:val="Strong"/>
        </w:rPr>
      </w:pPr>
      <w:r w:rsidRPr="00A33078">
        <w:rPr>
          <w:rStyle w:val="Strong"/>
        </w:rPr>
        <w:t>Phone:</w:t>
      </w:r>
      <w:r>
        <w:rPr>
          <w:rStyle w:val="Strong"/>
        </w:rPr>
        <w:t xml:space="preserve"> </w:t>
      </w:r>
      <w:r w:rsidR="003A387C">
        <w:t>[enter phone]</w:t>
      </w:r>
    </w:p>
    <w:p w14:paraId="6273D1D4" w14:textId="67FE903E" w:rsidR="00110F2B" w:rsidRDefault="00110F2B" w:rsidP="00110F2B">
      <w:pPr>
        <w:rPr>
          <w:rStyle w:val="Strong"/>
        </w:rPr>
      </w:pPr>
      <w:r w:rsidRPr="00A33078">
        <w:rPr>
          <w:rStyle w:val="Strong"/>
        </w:rPr>
        <w:t>Email</w:t>
      </w:r>
      <w:proofErr w:type="gramStart"/>
      <w:r w:rsidRPr="00A33078">
        <w:rPr>
          <w:rStyle w:val="Strong"/>
        </w:rPr>
        <w:t>:</w:t>
      </w:r>
      <w:r>
        <w:rPr>
          <w:rStyle w:val="Strong"/>
        </w:rPr>
        <w:t xml:space="preserve">  </w:t>
      </w:r>
      <w:r w:rsidR="003A387C">
        <w:t>[</w:t>
      </w:r>
      <w:proofErr w:type="gramEnd"/>
      <w:r w:rsidR="003A387C">
        <w:t>enter email]</w:t>
      </w:r>
    </w:p>
    <w:p w14:paraId="4B32C5E1" w14:textId="6A77C6E9" w:rsidR="00853180" w:rsidRDefault="00110F2B" w:rsidP="00A33078">
      <w:r w:rsidRPr="00A33078">
        <w:rPr>
          <w:rStyle w:val="Strong"/>
        </w:rPr>
        <w:t>Website:</w:t>
      </w:r>
      <w:r>
        <w:rPr>
          <w:rStyle w:val="Strong"/>
        </w:rPr>
        <w:t xml:space="preserve"> </w:t>
      </w:r>
      <w:r w:rsidR="003A387C">
        <w:t>[enter website address]</w:t>
      </w:r>
    </w:p>
    <w:p w14:paraId="1016CD16" w14:textId="77777777" w:rsidR="00853180" w:rsidRDefault="00853180">
      <w:pPr>
        <w:spacing w:after="0" w:line="240" w:lineRule="auto"/>
      </w:pPr>
      <w:r>
        <w:br w:type="page"/>
      </w:r>
    </w:p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110F2B" w:rsidRPr="0063606D" w14:paraId="32BC1445" w14:textId="77777777" w:rsidTr="00110F2B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322CA0E5" w14:textId="77777777" w:rsidR="00110F2B" w:rsidRPr="00384F5C" w:rsidRDefault="00110F2B" w:rsidP="00110F2B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A33078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General access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52534B3" w14:textId="77777777" w:rsidR="00110F2B" w:rsidRPr="00384F5C" w:rsidRDefault="00110F2B" w:rsidP="00110F2B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2F63AA1E" w14:textId="77777777" w:rsidR="00110F2B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D821ABD" w14:textId="77777777" w:rsidR="00110F2B" w:rsidRPr="00384F5C" w:rsidRDefault="00110F2B" w:rsidP="00110F2B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23489656" w14:textId="0222E266" w:rsidR="00110F2B" w:rsidRPr="00384F5C" w:rsidRDefault="00110F2B" w:rsidP="00110F2B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110F2B" w:rsidRPr="0063606D" w14:paraId="63B4C761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462694A" w14:textId="437E738A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There is wheelchair access via the main entrance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E6E2DFF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E7820D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37514A6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A5FBAB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7CBD718B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2F5BF52" w14:textId="652357F6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If no wheelchair access via main entrance, access entrance is a respectable alternative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B992B1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3D6B57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4BB6AE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AC1563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32B367BA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00A273A" w14:textId="17F2689D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There is a clear pathway to the main entrance of the venue free from obstructions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8FD29B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88F6BEF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2C91AE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5DDA297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60FE55A9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B3794DC" w14:textId="49A40642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Hazards are marked </w:t>
            </w:r>
            <w:proofErr w:type="spellStart"/>
            <w:r>
              <w:rPr>
                <w:rFonts w:cs="Arial"/>
              </w:rPr>
              <w:t>ie</w:t>
            </w:r>
            <w:proofErr w:type="spellEnd"/>
            <w:r>
              <w:rPr>
                <w:rFonts w:cs="Arial"/>
              </w:rPr>
              <w:t>: overhead or overhanging, trips or protruding objects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E56A07A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573905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334058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384D67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22BFB65B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0BF296" w14:textId="3490E6CC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All public spaces in the venue are wheelchair accessible. If no, note the restrictions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663E2E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6C54D0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FE6AD5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A553ADB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112E2346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5E8C57" w14:textId="35F2EB43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Noise levels in venue </w:t>
            </w:r>
            <w:proofErr w:type="gramStart"/>
            <w:r>
              <w:rPr>
                <w:rFonts w:cs="Arial"/>
              </w:rPr>
              <w:t>are  moderated</w:t>
            </w:r>
            <w:proofErr w:type="gramEnd"/>
            <w:r>
              <w:rPr>
                <w:rFonts w:cs="Arial"/>
              </w:rPr>
              <w:t xml:space="preserve"> to aid hearing at conversational level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D3ABC4C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568F84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CCA7F9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654E04F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7523C1AC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8BB4C49" w14:textId="43384A4C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There are quiet areas for people to sit/rest or recharge electric wheelchair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46A4744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3CBEC3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6F2E7B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1571740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3AF462D9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3C07898" w14:textId="61872118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All glass windows and doors are clearly marked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DF3A42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3CAC40E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D00AE6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C3F1424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44664CAE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97B5EF6" w14:textId="180D8D9B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Hazard marking Tactile Ground Surface Indicators are in use for people with vision impairment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F6BE7D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F680F4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BDC550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A478281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759B7BF2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418C80F" w14:textId="5AFE3EC3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Hearing augmentation system is fully functioning, checked and maintained annually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BFAF02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A9A51B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83004A8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52F60A5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372933B9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B727EFB" w14:textId="66BA954E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The hearing augmentation system’s coverage is between 80-95% of the designated space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7E4857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A9ED79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F0819D1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4D33F1F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7AF1EFB7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2E81D2D" w14:textId="1EFEC2B4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lastRenderedPageBreak/>
              <w:t>Pathways and ramps allow for a person in a wheelchair to travel next to a companion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B42023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1C1EB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FB94118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102FEB3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7CDC69E2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951C29C" w14:textId="2E80466A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Ramps have building standard grading and landings: standard 1:20; minimum 1:14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A3A381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0C4549E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6EF198C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DB3FC21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5B01988A" w14:textId="77777777" w:rsidTr="00275A3E">
        <w:trPr>
          <w:cantSplit/>
          <w:trHeight w:val="497"/>
        </w:trPr>
        <w:tc>
          <w:tcPr>
            <w:tcW w:w="4528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2ED6F285" w14:textId="0A1A0DE1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Step ramps have a minimum standard grading of 1:8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22B60E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AEF37A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7BF7899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8240EC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45D5165C" w14:textId="77777777" w:rsidTr="00275A3E">
        <w:trPr>
          <w:cantSplit/>
          <w:trHeight w:val="497"/>
        </w:trPr>
        <w:tc>
          <w:tcPr>
            <w:tcW w:w="4528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6745DB3E" w14:textId="24931B26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Ramps have building standard handrails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DF8D60D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E38AC94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F418D58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0D8522B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125902A0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AC79FFD" w14:textId="3A85534D" w:rsidR="00110F2B" w:rsidRPr="0063606D" w:rsidRDefault="00110F2B" w:rsidP="00110F2B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Outdoor areas are accessible and provide shelter and rest areas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7517B35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BF09957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376677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0629E1F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110F2B" w:rsidRPr="0063606D" w14:paraId="257E878D" w14:textId="77777777" w:rsidTr="00275A3E">
        <w:trPr>
          <w:cantSplit/>
          <w:trHeight w:val="497"/>
        </w:trPr>
        <w:tc>
          <w:tcPr>
            <w:tcW w:w="4528" w:type="dxa"/>
            <w:shd w:val="clear" w:color="auto" w:fill="FFFFFF" w:themeFill="background2"/>
          </w:tcPr>
          <w:p w14:paraId="7BC6753C" w14:textId="27D98A4A" w:rsidR="00110F2B" w:rsidRPr="0063606D" w:rsidRDefault="00110F2B" w:rsidP="00110F2B">
            <w:pPr>
              <w:pStyle w:val="NoSpacing"/>
              <w:ind w:left="24" w:hanging="24"/>
              <w:rPr>
                <w:rFonts w:ascii="Arial" w:hAnsi="Arial" w:cs="Arial"/>
                <w:b/>
                <w:bCs/>
              </w:rPr>
            </w:pPr>
            <w:r>
              <w:rPr>
                <w:rFonts w:cs="Arial"/>
              </w:rPr>
              <w:t>There is an area for assistance animals to be toileted</w:t>
            </w:r>
          </w:p>
        </w:tc>
        <w:tc>
          <w:tcPr>
            <w:tcW w:w="709" w:type="dxa"/>
            <w:shd w:val="clear" w:color="auto" w:fill="FFFFFF" w:themeFill="background2"/>
            <w:vAlign w:val="center"/>
          </w:tcPr>
          <w:p w14:paraId="078C7915" w14:textId="77777777" w:rsidR="00110F2B" w:rsidRPr="0063606D" w:rsidRDefault="00110F2B" w:rsidP="00110F2B">
            <w:pPr>
              <w:pStyle w:val="NoSpacing"/>
              <w:ind w:right="88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2"/>
            <w:vAlign w:val="center"/>
          </w:tcPr>
          <w:p w14:paraId="330DDEE4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FFFFFF" w:themeFill="background2"/>
            <w:vAlign w:val="center"/>
          </w:tcPr>
          <w:p w14:paraId="362C9683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35" w:type="dxa"/>
            <w:shd w:val="clear" w:color="auto" w:fill="FFFFFF" w:themeFill="background2"/>
            <w:vAlign w:val="center"/>
          </w:tcPr>
          <w:p w14:paraId="6796F694" w14:textId="77777777" w:rsidR="00110F2B" w:rsidRDefault="00110F2B" w:rsidP="00110F2B">
            <w:pPr>
              <w:pStyle w:val="NoSpacing"/>
              <w:ind w:right="882"/>
              <w:rPr>
                <w:rFonts w:ascii="Arial" w:hAnsi="Arial" w:cs="Arial"/>
                <w:b/>
                <w:bCs/>
              </w:rPr>
            </w:pPr>
          </w:p>
        </w:tc>
      </w:tr>
      <w:bookmarkEnd w:id="0"/>
    </w:tbl>
    <w:p w14:paraId="645C9E6D" w14:textId="2347AE77" w:rsidR="00801A50" w:rsidRDefault="00801A50" w:rsidP="00801A50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EF0513" w:rsidRPr="0063606D" w14:paraId="2601A008" w14:textId="77777777" w:rsidTr="00AF1B2A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7057BE77" w14:textId="154413D8" w:rsidR="00EF0513" w:rsidRPr="00384F5C" w:rsidRDefault="00EF0513" w:rsidP="00AF1B2A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10F2B">
              <w:rPr>
                <w:rFonts w:ascii="Arial" w:hAnsi="Arial" w:cs="Arial"/>
                <w:b/>
                <w:bCs/>
                <w:color w:val="FFFFFF" w:themeColor="background1"/>
              </w:rPr>
              <w:t>Doors and doorways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132BEE2" w14:textId="77777777" w:rsidR="00EF0513" w:rsidRPr="00384F5C" w:rsidRDefault="00EF0513" w:rsidP="00AF1B2A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42D1D46B" w14:textId="77777777" w:rsidR="00EF0513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06CEF181" w14:textId="77777777" w:rsidR="00EF0513" w:rsidRPr="00384F5C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4C13932A" w14:textId="77777777" w:rsidR="00EF0513" w:rsidRPr="00384F5C" w:rsidRDefault="00EF0513" w:rsidP="00AF1B2A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EF0513" w:rsidRPr="0063606D" w14:paraId="3C5AAFC6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7650A5B" w14:textId="744266D4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Automatic doors are provided at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A4B086B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8ED606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B58644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BEC8942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F0513" w:rsidRPr="0063606D" w14:paraId="6529EA1B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E161013" w14:textId="0693E244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Manual doors are wide enough to allow wheelchair access: minimum 850mm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739E3E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8A7563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7C607AB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3210782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F0513" w:rsidRPr="0063606D" w14:paraId="74A94E9A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406EC85" w14:textId="50E1FD79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br w:type="page"/>
            </w:r>
            <w:r>
              <w:br w:type="page"/>
            </w:r>
            <w:r>
              <w:rPr>
                <w:rFonts w:cs="Arial"/>
              </w:rPr>
              <w:t>Manual doors are weighted to enable ease of use in opening and closing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8AC7491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B00DF1A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7BCF06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7C1E635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F0513" w:rsidRPr="0063606D" w14:paraId="5020D4B4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E395180" w14:textId="2CB8E2D5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Door handles are at a height that is within reached of people in wheelchairs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7F8502D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C289C6D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05BF6A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08D19BA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F0513" w:rsidRPr="0063606D" w14:paraId="72188D79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68CD8F5" w14:textId="5738D46E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Door handles are of universal design for ease of use for people with limited dexterity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6BE122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9A89CAF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8FBC6B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93C1C5A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F0513" w:rsidRPr="0063606D" w14:paraId="45D681F5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2F84090" w14:textId="6FF4ECB4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lastRenderedPageBreak/>
              <w:t>Manual doors have space to enable people in a wheelchair to enter/ exit and manoeuvre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D19379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B138DE2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36D391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A5F51EB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0FFCCD2C" w14:textId="77777777" w:rsidR="00EF0513" w:rsidRDefault="00EF0513" w:rsidP="00801A50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EF0513" w:rsidRPr="0063606D" w14:paraId="1DFAA63E" w14:textId="77777777" w:rsidTr="00AF1B2A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14022C5E" w14:textId="6BA65F5E" w:rsidR="00EF0513" w:rsidRPr="00384F5C" w:rsidRDefault="00EF0513" w:rsidP="00AF1B2A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0513">
              <w:rPr>
                <w:rFonts w:ascii="Arial" w:hAnsi="Arial" w:cs="Arial"/>
                <w:b/>
                <w:bCs/>
                <w:color w:val="FFFFFF" w:themeColor="background1"/>
              </w:rPr>
              <w:t>Floor surfaces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326CDE5A" w14:textId="77777777" w:rsidR="00EF0513" w:rsidRPr="00384F5C" w:rsidRDefault="00EF0513" w:rsidP="00AF1B2A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59AF21F" w14:textId="77777777" w:rsidR="00EF0513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447576A" w14:textId="77777777" w:rsidR="00EF0513" w:rsidRPr="00384F5C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6FF17AA3" w14:textId="77777777" w:rsidR="00EF0513" w:rsidRPr="00384F5C" w:rsidRDefault="00EF0513" w:rsidP="00AF1B2A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EF0513" w:rsidRPr="0063606D" w14:paraId="4897B8C7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3C86913" w14:textId="4EDD06C0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Floor surfaces are even and non-slip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73BB7F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ECB674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8204645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934C5DF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F0513" w:rsidRPr="0063606D" w14:paraId="6A831ECE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F98900B" w14:textId="3C690DC8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Floor surfaces are stable and low friction for ease of travel in a wheelchair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ADAE977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B3B2A42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7D11061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6E0A03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F0513" w:rsidRPr="0063606D" w14:paraId="07FBE614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341BFA5" w14:textId="068C4631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Colour contrast is utilised to indicate changes in floor surfaces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61EB9E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98DB99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2D5631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8509F4C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D84FA9A" w14:textId="560F4A47" w:rsidR="00F14E17" w:rsidRDefault="00F14E17" w:rsidP="00EF0513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EF0513" w:rsidRPr="0063606D" w14:paraId="737688A7" w14:textId="77777777" w:rsidTr="00AF1B2A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29A67509" w14:textId="393872F2" w:rsidR="00EF0513" w:rsidRPr="00384F5C" w:rsidRDefault="00EF0513" w:rsidP="00AF1B2A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0513">
              <w:rPr>
                <w:rFonts w:ascii="Arial" w:hAnsi="Arial" w:cs="Arial"/>
                <w:b/>
                <w:bCs/>
                <w:color w:val="FFFFFF" w:themeColor="background1"/>
              </w:rPr>
              <w:t>Lighting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1E4A1AC" w14:textId="77777777" w:rsidR="00EF0513" w:rsidRPr="00384F5C" w:rsidRDefault="00EF0513" w:rsidP="00AF1B2A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6B1B47A8" w14:textId="77777777" w:rsidR="00EF0513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098E1C2" w14:textId="77777777" w:rsidR="00EF0513" w:rsidRPr="00384F5C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54198E57" w14:textId="77777777" w:rsidR="00EF0513" w:rsidRPr="00384F5C" w:rsidRDefault="00EF0513" w:rsidP="00AF1B2A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EF0513" w:rsidRPr="0063606D" w14:paraId="4560BB1A" w14:textId="77777777" w:rsidTr="00FD5B91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56561D6" w14:textId="656B7FBC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Lighting is even and enough for activities as appropriate to areas of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D670943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DB23DC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FB8490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D1979C1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F0513" w:rsidRPr="0063606D" w14:paraId="11190A63" w14:textId="77777777" w:rsidTr="00FD5B91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AF6B40E" w14:textId="50B901DC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Lighting is enough for activities as appropriate to areas of the venue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664E3B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0D422C5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546CAA3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7D8BEB5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F0513" w:rsidRPr="0063606D" w14:paraId="44A4C893" w14:textId="77777777" w:rsidTr="00FD5B91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6EBF77C" w14:textId="648925D8" w:rsidR="00EF0513" w:rsidRDefault="00EF0513" w:rsidP="00EF0513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Transitions between dramatic lighting changes are moderated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58211D6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9F304A7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B064033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9D9D3F2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EF0513" w:rsidRPr="0063606D" w14:paraId="4C939455" w14:textId="77777777" w:rsidTr="00FD5B91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8B02945" w14:textId="7CD201FD" w:rsidR="00EF0513" w:rsidRPr="0063606D" w:rsidRDefault="00EF0513" w:rsidP="00EF0513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Pathways and general areas are well lit for people that are low vision or who lip read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92C0379" w14:textId="77777777" w:rsidR="00EF0513" w:rsidRPr="0063606D" w:rsidRDefault="00EF0513" w:rsidP="00EF0513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88E16C4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E0C46ED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809D741" w14:textId="77777777" w:rsidR="00EF0513" w:rsidRDefault="00EF0513" w:rsidP="00EF0513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3A16F85" w14:textId="1FA3356F" w:rsidR="00EF0513" w:rsidRDefault="00EF0513" w:rsidP="00EF0513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EF0513" w:rsidRPr="0063606D" w14:paraId="5C114237" w14:textId="77777777" w:rsidTr="00AF1B2A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5AF3DCE8" w14:textId="31D319A8" w:rsidR="00EF0513" w:rsidRPr="00384F5C" w:rsidRDefault="00EF0513" w:rsidP="00AF1B2A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F0513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Stairs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EF0513">
              <w:rPr>
                <w:rFonts w:ascii="Arial" w:hAnsi="Arial" w:cs="Arial"/>
                <w:b/>
                <w:bCs/>
                <w:color w:val="FFFFFF" w:themeColor="background1"/>
              </w:rPr>
              <w:t>/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EF0513">
              <w:rPr>
                <w:rFonts w:ascii="Arial" w:hAnsi="Arial" w:cs="Arial"/>
                <w:b/>
                <w:bCs/>
                <w:color w:val="FFFFFF" w:themeColor="background1"/>
              </w:rPr>
              <w:t>escalators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EF0513">
              <w:rPr>
                <w:rFonts w:ascii="Arial" w:hAnsi="Arial" w:cs="Arial"/>
                <w:b/>
                <w:bCs/>
                <w:color w:val="FFFFFF" w:themeColor="background1"/>
              </w:rPr>
              <w:t>/</w:t>
            </w:r>
            <w:r>
              <w:rPr>
                <w:rFonts w:ascii="Arial" w:hAnsi="Arial" w:cs="Arial"/>
                <w:b/>
                <w:bCs/>
                <w:color w:val="FFFFFF" w:themeColor="background1"/>
              </w:rPr>
              <w:t xml:space="preserve"> </w:t>
            </w:r>
            <w:r w:rsidRPr="00EF0513">
              <w:rPr>
                <w:rFonts w:ascii="Arial" w:hAnsi="Arial" w:cs="Arial"/>
                <w:b/>
                <w:bCs/>
                <w:color w:val="FFFFFF" w:themeColor="background1"/>
              </w:rPr>
              <w:t>lifts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586E90DD" w14:textId="77777777" w:rsidR="00EF0513" w:rsidRPr="00384F5C" w:rsidRDefault="00EF0513" w:rsidP="00AF1B2A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24B84D4C" w14:textId="77777777" w:rsidR="00EF0513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4D7A1C5F" w14:textId="77777777" w:rsidR="00EF0513" w:rsidRPr="00384F5C" w:rsidRDefault="00EF0513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609F5874" w14:textId="77777777" w:rsidR="00EF0513" w:rsidRPr="00384F5C" w:rsidRDefault="00EF0513" w:rsidP="00AF1B2A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B82B09" w:rsidRPr="0063606D" w14:paraId="1DB164E5" w14:textId="77777777" w:rsidTr="0062386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816BEFA" w14:textId="4817956B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Stairs comply with building standards for height and consistency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BA9286D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380D2DC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26261B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9087AB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234DA22A" w14:textId="77777777" w:rsidTr="0062386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9785A64" w14:textId="4BCC14F1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proofErr w:type="gramStart"/>
            <w:r>
              <w:rPr>
                <w:rFonts w:cs="Arial"/>
              </w:rPr>
              <w:t>Stairs  and</w:t>
            </w:r>
            <w:proofErr w:type="gramEnd"/>
            <w:r>
              <w:rPr>
                <w:rFonts w:cs="Arial"/>
              </w:rPr>
              <w:t xml:space="preserve"> escalators have safety measures installed </w:t>
            </w:r>
            <w:proofErr w:type="spellStart"/>
            <w:r>
              <w:rPr>
                <w:rFonts w:cs="Arial"/>
              </w:rPr>
              <w:t>ie</w:t>
            </w:r>
            <w:proofErr w:type="spellEnd"/>
            <w:r>
              <w:rPr>
                <w:rFonts w:cs="Arial"/>
              </w:rPr>
              <w:t>: handrails, slip resistant surfaces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3086D1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B0ED9F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F98C39A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294D8CB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51329A0D" w14:textId="77777777" w:rsidTr="0062386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7452E47F" w14:textId="6F4C510B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Stairs have </w:t>
            </w:r>
            <w:proofErr w:type="gramStart"/>
            <w:r>
              <w:rPr>
                <w:rFonts w:cs="Arial"/>
              </w:rPr>
              <w:t>non slip</w:t>
            </w:r>
            <w:proofErr w:type="gramEnd"/>
            <w:r>
              <w:rPr>
                <w:rFonts w:cs="Arial"/>
              </w:rPr>
              <w:t xml:space="preserve"> surfaces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14D8AB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C8EDC3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C564349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45FFB25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20E3CF2C" w14:textId="77777777" w:rsidTr="0062386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D4CB5DF" w14:textId="5DCDF7A0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Stairs and escalators have tactile ground surface indicators at the top and bottom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E9FAFD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54E80A0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FA91CE5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C63B76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6D88356F" w14:textId="77777777" w:rsidTr="0062386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E8F9264" w14:textId="41A18CDE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Escalators/ stairs / lifts are clearly and consistently sign posted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4EFE423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0FFC70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5439D6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C3BCF31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209A0EBD" w14:textId="77777777" w:rsidTr="0062386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D76CABA" w14:textId="6DA5EF05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Escalator speed allows for people with limited or slow mobility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4C0E85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D5F310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3DA7245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E5EA984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42713271" w14:textId="77777777" w:rsidTr="0062386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1341DB5" w14:textId="11CF92DF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Lift is large enough to allow a person in a wheelchair to manoeuvre 360 degrees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6499AB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9682B0F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C48B48B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C430705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78DD18F0" w14:textId="77777777" w:rsidTr="0062386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0BA8FAE9" w14:textId="634238D2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Lift buttons are at a height that can be reached by a person in wheelchair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CAE78A9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57D830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0D9FC0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2B65B66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0692DB8C" w14:textId="77777777" w:rsidTr="0062386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512BAEE" w14:textId="7E8AB8E3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Lift has relevant signage including braille on the buttons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A9A0D29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2F7A96D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22B71AC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7B49A5F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5E7A9DF8" w14:textId="77777777" w:rsidTr="0062386E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40F8FAD" w14:textId="2AE3CC2F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Lift has aural and visual cues to indicate floor levels and other information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407A5E8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47488C0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AF14EE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8C2A681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534593CD" w14:textId="681A1BD4" w:rsidR="00EF0513" w:rsidRDefault="00EF0513" w:rsidP="00EF0513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B82B09" w:rsidRPr="0063606D" w14:paraId="5B353471" w14:textId="77777777" w:rsidTr="00AF1B2A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449DD5B1" w14:textId="420D5F59" w:rsidR="00B82B09" w:rsidRPr="00384F5C" w:rsidRDefault="00B82B09" w:rsidP="00AF1B2A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2B09">
              <w:rPr>
                <w:rFonts w:ascii="Arial" w:hAnsi="Arial" w:cs="Arial"/>
                <w:b/>
                <w:bCs/>
                <w:color w:val="FFFFFF" w:themeColor="background1"/>
              </w:rPr>
              <w:t>Public amenities/ toilets &amp; bathrooms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61BC03D" w14:textId="77777777" w:rsidR="00B82B09" w:rsidRPr="00384F5C" w:rsidRDefault="00B82B09" w:rsidP="00AF1B2A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21AAD54E" w14:textId="77777777" w:rsidR="00B82B09" w:rsidRDefault="00B82B09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31C5CF9A" w14:textId="77777777" w:rsidR="00B82B09" w:rsidRPr="00384F5C" w:rsidRDefault="00B82B09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0CBA1E9D" w14:textId="77777777" w:rsidR="00B82B09" w:rsidRPr="00384F5C" w:rsidRDefault="00B82B09" w:rsidP="00AF1B2A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B82B09" w:rsidRPr="0063606D" w14:paraId="6A0F2E11" w14:textId="77777777" w:rsidTr="00C1695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329B0DD" w14:textId="17CCAF14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Venue provides accessible toilets at a ratio of 1:25 for women and men (unisex)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172D1A6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CE18C17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3C856CC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67B6C778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20130AB3" w14:textId="77777777" w:rsidTr="00C1695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3673C75" w14:textId="2325C7B5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lastRenderedPageBreak/>
              <w:t>Directional signs for public amenities incorporate the universal symbol for access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A873F21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18D9AAD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0738F7A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5C5410BD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78196344" w14:textId="77777777" w:rsidTr="00C1695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455C54F8" w14:textId="7B6B360E" w:rsidR="00B82B09" w:rsidRDefault="00B82B09" w:rsidP="00B82B09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Toilet signs includes raised tactile and braille information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234798D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27C654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AF04F86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0278B57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0450C82E" w14:textId="77777777" w:rsidTr="00C1695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C1EA7B8" w14:textId="5B05A5FA" w:rsidR="00B82B09" w:rsidRDefault="00B82B09" w:rsidP="00B82B09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Accessible toilets comply with Australian Building standards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F150ED6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5E73581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1FC892D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0277219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29650F9F" w14:textId="77777777" w:rsidTr="00C1695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58E43B4" w14:textId="364F8B3C" w:rsidR="00B82B09" w:rsidRDefault="00B82B09" w:rsidP="00B82B09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Accessible toilets are clear and free from hazards or unsuitable items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DC81F98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70BD78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D2187B9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A60A9F6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7B88BF78" w14:textId="77777777" w:rsidTr="00C16950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51504A8" w14:textId="3FDB78E1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If no accessible toilets are available, a suitable alternative is arranged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26055DB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4CA8E92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9CC52FA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E9815CB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4CAA842F" w14:textId="050BB0C6" w:rsidR="00B82B09" w:rsidRDefault="00B82B09" w:rsidP="00EF0513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B82B09" w:rsidRPr="0063606D" w14:paraId="2DE96DDB" w14:textId="77777777" w:rsidTr="00AF1B2A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2D5E7BEF" w14:textId="3D37717B" w:rsidR="00B82B09" w:rsidRPr="00384F5C" w:rsidRDefault="00B82B09" w:rsidP="00AF1B2A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B82B09">
              <w:rPr>
                <w:rFonts w:ascii="Arial" w:hAnsi="Arial" w:cs="Arial"/>
                <w:b/>
                <w:bCs/>
                <w:color w:val="FFFFFF" w:themeColor="background1"/>
              </w:rPr>
              <w:t>Emergency exits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1CC54BBB" w14:textId="77777777" w:rsidR="00B82B09" w:rsidRPr="00384F5C" w:rsidRDefault="00B82B09" w:rsidP="00AF1B2A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57F6F87C" w14:textId="77777777" w:rsidR="00B82B09" w:rsidRDefault="00B82B09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38A785B0" w14:textId="77777777" w:rsidR="00B82B09" w:rsidRPr="00384F5C" w:rsidRDefault="00B82B09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0DC08636" w14:textId="77777777" w:rsidR="00B82B09" w:rsidRPr="00384F5C" w:rsidRDefault="00B82B09" w:rsidP="00AF1B2A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B82B09" w:rsidRPr="0063606D" w14:paraId="36E57E84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F2832C9" w14:textId="6908714B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Emergency exits are clearly marked and accessible for wheelchair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314D1E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685ABB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86D81E4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C1CC605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38DA34CF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1D33597C" w14:textId="0E444CBD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Luminous indicators are used in the venue </w:t>
            </w:r>
            <w:proofErr w:type="spellStart"/>
            <w:r>
              <w:rPr>
                <w:rFonts w:cs="Arial"/>
              </w:rPr>
              <w:t>ie</w:t>
            </w:r>
            <w:proofErr w:type="spellEnd"/>
            <w:r>
              <w:rPr>
                <w:rFonts w:cs="Arial"/>
              </w:rPr>
              <w:t>: Fire exit signs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5FCA11E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BDE925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BA603D7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AEE08F4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15F6C918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2628BD92" w14:textId="620F1C1A" w:rsidR="00B82B09" w:rsidRDefault="00B82B09" w:rsidP="00B82B09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There are both audio and visual warning signals in the event of an emergency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FD51C0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835DFB5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5D3FBFF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07725ED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1B6DB1A3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378D68F3" w14:textId="7A20B25F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 xml:space="preserve">Evacuation procedures support people with disability who may require assistance 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6FFF3D7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43A5678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D1431DB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AC9667D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C896117" w14:textId="390551FF" w:rsidR="00B82B09" w:rsidRDefault="00B82B09" w:rsidP="00EF0513"/>
    <w:tbl>
      <w:tblPr>
        <w:tblStyle w:val="TableGrid"/>
        <w:tblpPr w:leftFromText="180" w:rightFromText="180" w:vertAnchor="text" w:horzAnchor="margin" w:tblpY="89"/>
        <w:tblW w:w="9490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28"/>
        <w:gridCol w:w="709"/>
        <w:gridCol w:w="709"/>
        <w:gridCol w:w="709"/>
        <w:gridCol w:w="2835"/>
      </w:tblGrid>
      <w:tr w:rsidR="00B82B09" w:rsidRPr="0063606D" w14:paraId="5606BDAD" w14:textId="77777777" w:rsidTr="00AF1B2A">
        <w:trPr>
          <w:cantSplit/>
          <w:trHeight w:val="497"/>
          <w:tblHeader/>
        </w:trPr>
        <w:tc>
          <w:tcPr>
            <w:tcW w:w="4528" w:type="dxa"/>
            <w:shd w:val="clear" w:color="auto" w:fill="D33278" w:themeFill="text2"/>
            <w:vAlign w:val="center"/>
          </w:tcPr>
          <w:p w14:paraId="3130CC90" w14:textId="488C4D52" w:rsidR="00B82B09" w:rsidRPr="00384F5C" w:rsidRDefault="00B82B09" w:rsidP="00AF1B2A">
            <w:pPr>
              <w:pStyle w:val="NoSpacing"/>
              <w:spacing w:line="259" w:lineRule="auto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S</w:t>
            </w:r>
            <w:r>
              <w:rPr>
                <w:rFonts w:cs="Arial"/>
                <w:color w:val="FFFFFF" w:themeColor="background1"/>
              </w:rPr>
              <w:t>taff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382487C1" w14:textId="77777777" w:rsidR="00B82B09" w:rsidRPr="00384F5C" w:rsidRDefault="00B82B09" w:rsidP="00AF1B2A">
            <w:pPr>
              <w:pStyle w:val="NoSpacing"/>
              <w:ind w:right="-102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Yes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6C78CFFA" w14:textId="77777777" w:rsidR="00B82B09" w:rsidRDefault="00B82B09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Part</w:t>
            </w:r>
          </w:p>
        </w:tc>
        <w:tc>
          <w:tcPr>
            <w:tcW w:w="709" w:type="dxa"/>
            <w:shd w:val="clear" w:color="auto" w:fill="D33278" w:themeFill="text2"/>
            <w:vAlign w:val="center"/>
          </w:tcPr>
          <w:p w14:paraId="71CF93FE" w14:textId="77777777" w:rsidR="00B82B09" w:rsidRPr="00384F5C" w:rsidRDefault="00B82B09" w:rsidP="00AF1B2A">
            <w:pPr>
              <w:pStyle w:val="NoSpacing"/>
              <w:ind w:right="-69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No</w:t>
            </w:r>
          </w:p>
        </w:tc>
        <w:tc>
          <w:tcPr>
            <w:tcW w:w="2835" w:type="dxa"/>
            <w:shd w:val="clear" w:color="auto" w:fill="D33278" w:themeFill="text2"/>
            <w:vAlign w:val="center"/>
          </w:tcPr>
          <w:p w14:paraId="436D5FF3" w14:textId="77777777" w:rsidR="00B82B09" w:rsidRPr="00384F5C" w:rsidRDefault="00B82B09" w:rsidP="00AF1B2A">
            <w:pPr>
              <w:pStyle w:val="NoSpacing"/>
              <w:ind w:right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Action</w:t>
            </w:r>
          </w:p>
        </w:tc>
      </w:tr>
      <w:tr w:rsidR="00B82B09" w:rsidRPr="0063606D" w14:paraId="5AA446B6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BA76BDD" w14:textId="015395E8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Employees have undertaken disability awareness training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0E1EB35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360915A3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8FEFB3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DEB6591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008564E4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6B39A88E" w14:textId="70152EC5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lastRenderedPageBreak/>
              <w:t xml:space="preserve">Employees are available to </w:t>
            </w:r>
            <w:proofErr w:type="gramStart"/>
            <w:r>
              <w:rPr>
                <w:rFonts w:cs="Arial"/>
              </w:rPr>
              <w:t>provide assistance to</w:t>
            </w:r>
            <w:proofErr w:type="gramEnd"/>
            <w:r>
              <w:rPr>
                <w:rFonts w:cs="Arial"/>
              </w:rPr>
              <w:t xml:space="preserve"> the public with disability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E0433C4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242BA80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4F9813C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2DFD89B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  <w:tr w:rsidR="00B82B09" w:rsidRPr="0063606D" w14:paraId="6EC377BA" w14:textId="77777777" w:rsidTr="00AF1B2A">
        <w:trPr>
          <w:cantSplit/>
          <w:trHeight w:val="497"/>
        </w:trPr>
        <w:tc>
          <w:tcPr>
            <w:tcW w:w="4528" w:type="dxa"/>
            <w:shd w:val="clear" w:color="auto" w:fill="FFFFFF" w:themeFill="background1"/>
          </w:tcPr>
          <w:p w14:paraId="5B25BE0F" w14:textId="3D8D565A" w:rsidR="00B82B09" w:rsidRPr="0063606D" w:rsidRDefault="00B82B09" w:rsidP="00B82B09">
            <w:pPr>
              <w:pStyle w:val="NoSpacing"/>
              <w:rPr>
                <w:rFonts w:ascii="Arial" w:hAnsi="Arial" w:cs="Arial"/>
              </w:rPr>
            </w:pPr>
            <w:r>
              <w:rPr>
                <w:rFonts w:cs="Arial"/>
              </w:rPr>
              <w:t>Employees are suitably prepared to assist the public with a range of disabilities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1F92415" w14:textId="77777777" w:rsidR="00B82B09" w:rsidRPr="0063606D" w:rsidRDefault="00B82B09" w:rsidP="00B82B09">
            <w:pPr>
              <w:pStyle w:val="NoSpacing"/>
              <w:ind w:right="882"/>
              <w:rPr>
                <w:rFonts w:ascii="Arial" w:hAnsi="Arial" w:cs="Arial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EA2347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A5838F9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258EB506" w14:textId="77777777" w:rsidR="00B82B09" w:rsidRDefault="00B82B09" w:rsidP="00B82B09">
            <w:pPr>
              <w:pStyle w:val="NoSpacing"/>
              <w:ind w:right="882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1C2777EF" w14:textId="5BEF0059" w:rsidR="00B82B09" w:rsidRDefault="00B82B09" w:rsidP="00EF0513"/>
    <w:p w14:paraId="4686AD09" w14:textId="77777777" w:rsidR="00E725D0" w:rsidRDefault="00E725D0" w:rsidP="00E725D0">
      <w:pPr>
        <w:pStyle w:val="Heading2"/>
      </w:pPr>
      <w:r>
        <w:t xml:space="preserve">Assessment of Results </w:t>
      </w:r>
    </w:p>
    <w:p w14:paraId="37A910C1" w14:textId="77777777" w:rsidR="00E725D0" w:rsidRDefault="00E725D0" w:rsidP="00E725D0">
      <w:pPr>
        <w:pStyle w:val="Heading3"/>
      </w:pPr>
      <w:r>
        <w:t>Priority Action and Goals</w:t>
      </w:r>
    </w:p>
    <w:p w14:paraId="6BF497D3" w14:textId="228042FB" w:rsidR="00E725D0" w:rsidRPr="00E725D0" w:rsidRDefault="00E725D0" w:rsidP="00E725D0">
      <w:pPr>
        <w:pStyle w:val="ListParagraph"/>
        <w:numPr>
          <w:ilvl w:val="0"/>
          <w:numId w:val="27"/>
        </w:numPr>
        <w:tabs>
          <w:tab w:val="left" w:pos="426"/>
          <w:tab w:val="left" w:pos="4253"/>
        </w:tabs>
        <w:ind w:right="-46"/>
        <w:outlineLvl w:val="0"/>
        <w:rPr>
          <w:rFonts w:cs="Arial"/>
        </w:rPr>
      </w:pPr>
      <w:r>
        <w:rPr>
          <w:rFonts w:cs="Arial"/>
        </w:rPr>
        <w:t>[enter text]</w:t>
      </w:r>
    </w:p>
    <w:p w14:paraId="157FC4CC" w14:textId="77777777" w:rsidR="00E725D0" w:rsidRDefault="00E725D0" w:rsidP="00E725D0">
      <w:pPr>
        <w:pStyle w:val="Heading3"/>
      </w:pPr>
      <w:r>
        <w:t>References and Links</w:t>
      </w:r>
    </w:p>
    <w:bookmarkStart w:id="1" w:name="_Hlk106886321"/>
    <w:p w14:paraId="57D35904" w14:textId="07D50A81" w:rsidR="00E725D0" w:rsidRDefault="0076792D" w:rsidP="00E725D0">
      <w:r>
        <w:fldChar w:fldCharType="begin"/>
      </w:r>
      <w:r w:rsidR="00AD359C">
        <w:instrText>HYPERLINK "https://www.standards.org.au/standards-catalogue/sa-snz/building/me-064/as--1428-dot-1-colon-2021" \o "AS 1428.1:2021 Standard"</w:instrText>
      </w:r>
      <w:r>
        <w:fldChar w:fldCharType="separate"/>
      </w:r>
      <w:r w:rsidR="00E725D0" w:rsidRPr="0076792D">
        <w:rPr>
          <w:rStyle w:val="Hyperlink"/>
        </w:rPr>
        <w:t xml:space="preserve">Summary of Australian Standards: 1428 Design for Access and Mobility </w:t>
      </w:r>
      <w:r>
        <w:fldChar w:fldCharType="end"/>
      </w:r>
      <w:r w:rsidR="00E725D0">
        <w:t xml:space="preserve"> </w:t>
      </w:r>
    </w:p>
    <w:bookmarkEnd w:id="1"/>
    <w:p w14:paraId="5A34EC67" w14:textId="2AD480F1" w:rsidR="00E725D0" w:rsidRDefault="00E725D0" w:rsidP="00E725D0">
      <w:r>
        <w:fldChar w:fldCharType="begin"/>
      </w:r>
      <w:r w:rsidR="00AD359C">
        <w:instrText>HYPERLINK "http://www.ag.gov.au/premisesstandards" \o "Australian Government's webpage on Building and construction"</w:instrText>
      </w:r>
      <w:r>
        <w:fldChar w:fldCharType="separate"/>
      </w:r>
      <w:r w:rsidRPr="00E725D0">
        <w:rPr>
          <w:rStyle w:val="Hyperlink"/>
        </w:rPr>
        <w:t>Disability (Access to Premises – Buildings) Standards, 2010</w:t>
      </w:r>
      <w:r>
        <w:fldChar w:fldCharType="end"/>
      </w:r>
      <w:r>
        <w:t xml:space="preserve"> </w:t>
      </w:r>
    </w:p>
    <w:p w14:paraId="7AED4E5D" w14:textId="636A89C7" w:rsidR="00E725D0" w:rsidRDefault="00115B48" w:rsidP="00EF0513">
      <w:hyperlink r:id="rId10" w:tooltip="Accessible Arts Resources webpage" w:history="1">
        <w:r w:rsidR="00E725D0" w:rsidRPr="00E725D0">
          <w:rPr>
            <w:rStyle w:val="Hyperlink"/>
            <w:rFonts w:cs="Arial"/>
          </w:rPr>
          <w:t>Accessible Arts</w:t>
        </w:r>
      </w:hyperlink>
    </w:p>
    <w:sectPr w:rsidR="00E725D0" w:rsidSect="00E02983">
      <w:headerReference w:type="default" r:id="rId11"/>
      <w:footerReference w:type="default" r:id="rId12"/>
      <w:pgSz w:w="11900" w:h="16840"/>
      <w:pgMar w:top="567" w:right="1800" w:bottom="1418" w:left="1800" w:header="708" w:footer="21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1C811" w14:textId="77777777" w:rsidR="008660E5" w:rsidRDefault="008660E5">
      <w:r>
        <w:separator/>
      </w:r>
    </w:p>
  </w:endnote>
  <w:endnote w:type="continuationSeparator" w:id="0">
    <w:p w14:paraId="1F519C07" w14:textId="77777777" w:rsidR="008660E5" w:rsidRDefault="0086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4" w14:textId="675FF93B" w:rsidR="009E77C0" w:rsidRPr="00EA430D" w:rsidRDefault="003A387C" w:rsidP="000713D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</w:pPr>
    <w:r>
      <w:t>Venue checklist</w:t>
    </w:r>
    <w:r w:rsidR="00EA430D" w:rsidRPr="00EA430D">
      <w:ptab w:relativeTo="margin" w:alignment="center" w:leader="none"/>
    </w:r>
    <w:r w:rsidR="00EA430D" w:rsidRPr="00EA430D">
      <w:ptab w:relativeTo="margin" w:alignment="right" w:leader="none"/>
    </w:r>
    <w:r w:rsidR="00980521" w:rsidRPr="00980521">
      <w:t xml:space="preserve">Page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PAGE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1</w:t>
    </w:r>
    <w:r w:rsidR="00980521" w:rsidRPr="00980521">
      <w:rPr>
        <w:b/>
        <w:bCs/>
      </w:rPr>
      <w:fldChar w:fldCharType="end"/>
    </w:r>
    <w:r w:rsidR="00980521" w:rsidRPr="00980521">
      <w:t xml:space="preserve"> of </w:t>
    </w:r>
    <w:r w:rsidR="00980521" w:rsidRPr="00980521">
      <w:rPr>
        <w:b/>
        <w:bCs/>
      </w:rPr>
      <w:fldChar w:fldCharType="begin"/>
    </w:r>
    <w:r w:rsidR="00980521" w:rsidRPr="00980521">
      <w:rPr>
        <w:b/>
        <w:bCs/>
      </w:rPr>
      <w:instrText xml:space="preserve"> NUMPAGES  \* Arabic  \* MERGEFORMAT </w:instrText>
    </w:r>
    <w:r w:rsidR="00980521" w:rsidRPr="00980521">
      <w:rPr>
        <w:b/>
        <w:bCs/>
      </w:rPr>
      <w:fldChar w:fldCharType="separate"/>
    </w:r>
    <w:r w:rsidR="00980521" w:rsidRPr="00980521">
      <w:rPr>
        <w:b/>
        <w:bCs/>
        <w:noProof/>
      </w:rPr>
      <w:t>2</w:t>
    </w:r>
    <w:r w:rsidR="00980521" w:rsidRPr="00980521">
      <w:rPr>
        <w:b/>
        <w:bCs/>
      </w:rPr>
      <w:fldChar w:fldCharType="end"/>
    </w:r>
    <w:r w:rsidR="0098052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BD472" w14:textId="77777777" w:rsidR="008660E5" w:rsidRDefault="008660E5">
      <w:r w:rsidRPr="00196966">
        <w:rPr>
          <w:color w:val="D33278"/>
        </w:rPr>
        <w:separator/>
      </w:r>
    </w:p>
  </w:footnote>
  <w:footnote w:type="continuationSeparator" w:id="0">
    <w:p w14:paraId="251FDCAF" w14:textId="77777777" w:rsidR="008660E5" w:rsidRDefault="008660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2" w14:textId="77777777" w:rsidR="009E77C0" w:rsidRDefault="009E77C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DAC73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94A1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F675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AECE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CAA0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B6DE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468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A8699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8B65B3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3CF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65986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206672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C26F7C"/>
    <w:multiLevelType w:val="multilevel"/>
    <w:tmpl w:val="73E0C0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DE1965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472BCA"/>
    <w:multiLevelType w:val="hybridMultilevel"/>
    <w:tmpl w:val="4676A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AC3F1B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1A4A1E"/>
    <w:multiLevelType w:val="hybridMultilevel"/>
    <w:tmpl w:val="632E45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72E48"/>
    <w:multiLevelType w:val="multilevel"/>
    <w:tmpl w:val="860C15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901E9C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D0236E"/>
    <w:multiLevelType w:val="multilevel"/>
    <w:tmpl w:val="DAE072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E4A59B4"/>
    <w:multiLevelType w:val="multilevel"/>
    <w:tmpl w:val="3E0E1B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0C04828"/>
    <w:multiLevelType w:val="hybridMultilevel"/>
    <w:tmpl w:val="773EFAC0"/>
    <w:lvl w:ilvl="0" w:tplc="2408C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43503E"/>
    <w:multiLevelType w:val="multilevel"/>
    <w:tmpl w:val="560EA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44D1E"/>
    <w:multiLevelType w:val="hybridMultilevel"/>
    <w:tmpl w:val="7D5C9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86B42"/>
    <w:multiLevelType w:val="multilevel"/>
    <w:tmpl w:val="01E271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B6A7502"/>
    <w:multiLevelType w:val="multilevel"/>
    <w:tmpl w:val="3E8E46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FC32C4E"/>
    <w:multiLevelType w:val="hybridMultilevel"/>
    <w:tmpl w:val="E57C8AC6"/>
    <w:lvl w:ilvl="0" w:tplc="3B9409F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2019347">
    <w:abstractNumId w:val="24"/>
  </w:num>
  <w:num w:numId="2" w16cid:durableId="1815022400">
    <w:abstractNumId w:val="19"/>
  </w:num>
  <w:num w:numId="3" w16cid:durableId="1076241179">
    <w:abstractNumId w:val="20"/>
  </w:num>
  <w:num w:numId="4" w16cid:durableId="618951927">
    <w:abstractNumId w:val="12"/>
  </w:num>
  <w:num w:numId="5" w16cid:durableId="1363436125">
    <w:abstractNumId w:val="17"/>
  </w:num>
  <w:num w:numId="6" w16cid:durableId="1508406273">
    <w:abstractNumId w:val="25"/>
  </w:num>
  <w:num w:numId="7" w16cid:durableId="1493329575">
    <w:abstractNumId w:val="23"/>
  </w:num>
  <w:num w:numId="8" w16cid:durableId="1626503672">
    <w:abstractNumId w:val="16"/>
  </w:num>
  <w:num w:numId="9" w16cid:durableId="2050378346">
    <w:abstractNumId w:val="26"/>
  </w:num>
  <w:num w:numId="10" w16cid:durableId="248661459">
    <w:abstractNumId w:val="21"/>
  </w:num>
  <w:num w:numId="11" w16cid:durableId="2100978534">
    <w:abstractNumId w:val="8"/>
  </w:num>
  <w:num w:numId="12" w16cid:durableId="1259220891">
    <w:abstractNumId w:val="0"/>
  </w:num>
  <w:num w:numId="13" w16cid:durableId="26566505">
    <w:abstractNumId w:val="9"/>
  </w:num>
  <w:num w:numId="14" w16cid:durableId="1200362525">
    <w:abstractNumId w:val="7"/>
  </w:num>
  <w:num w:numId="15" w16cid:durableId="1830293808">
    <w:abstractNumId w:val="6"/>
  </w:num>
  <w:num w:numId="16" w16cid:durableId="1418788902">
    <w:abstractNumId w:val="5"/>
  </w:num>
  <w:num w:numId="17" w16cid:durableId="642468085">
    <w:abstractNumId w:val="4"/>
  </w:num>
  <w:num w:numId="18" w16cid:durableId="1999770242">
    <w:abstractNumId w:val="3"/>
  </w:num>
  <w:num w:numId="19" w16cid:durableId="46953497">
    <w:abstractNumId w:val="2"/>
  </w:num>
  <w:num w:numId="20" w16cid:durableId="1908690169">
    <w:abstractNumId w:val="1"/>
  </w:num>
  <w:num w:numId="21" w16cid:durableId="633143915">
    <w:abstractNumId w:val="11"/>
  </w:num>
  <w:num w:numId="22" w16cid:durableId="1617834632">
    <w:abstractNumId w:val="22"/>
  </w:num>
  <w:num w:numId="23" w16cid:durableId="1511337156">
    <w:abstractNumId w:val="15"/>
  </w:num>
  <w:num w:numId="24" w16cid:durableId="557479021">
    <w:abstractNumId w:val="13"/>
  </w:num>
  <w:num w:numId="25" w16cid:durableId="1385716219">
    <w:abstractNumId w:val="10"/>
  </w:num>
  <w:num w:numId="26" w16cid:durableId="928344773">
    <w:abstractNumId w:val="18"/>
  </w:num>
  <w:num w:numId="27" w16cid:durableId="4177983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C0"/>
    <w:rsid w:val="0001479E"/>
    <w:rsid w:val="00060878"/>
    <w:rsid w:val="000713D4"/>
    <w:rsid w:val="000816DC"/>
    <w:rsid w:val="000869A2"/>
    <w:rsid w:val="000B096D"/>
    <w:rsid w:val="000C3F2A"/>
    <w:rsid w:val="000C50E2"/>
    <w:rsid w:val="000F468E"/>
    <w:rsid w:val="00110F2B"/>
    <w:rsid w:val="00115B48"/>
    <w:rsid w:val="00117014"/>
    <w:rsid w:val="001305C2"/>
    <w:rsid w:val="001308BE"/>
    <w:rsid w:val="0014602D"/>
    <w:rsid w:val="00162DE0"/>
    <w:rsid w:val="00167F46"/>
    <w:rsid w:val="0017323B"/>
    <w:rsid w:val="00174409"/>
    <w:rsid w:val="001749A9"/>
    <w:rsid w:val="00196966"/>
    <w:rsid w:val="001B2BF8"/>
    <w:rsid w:val="001B7492"/>
    <w:rsid w:val="001C52EA"/>
    <w:rsid w:val="001C547B"/>
    <w:rsid w:val="001E59C3"/>
    <w:rsid w:val="001F267A"/>
    <w:rsid w:val="00214D23"/>
    <w:rsid w:val="00233F3F"/>
    <w:rsid w:val="00251253"/>
    <w:rsid w:val="00255297"/>
    <w:rsid w:val="00267A59"/>
    <w:rsid w:val="002D4B46"/>
    <w:rsid w:val="002E1FEE"/>
    <w:rsid w:val="003065C9"/>
    <w:rsid w:val="00325BD7"/>
    <w:rsid w:val="003377D3"/>
    <w:rsid w:val="00340A51"/>
    <w:rsid w:val="00344D69"/>
    <w:rsid w:val="003505DA"/>
    <w:rsid w:val="00376260"/>
    <w:rsid w:val="00381D52"/>
    <w:rsid w:val="00384F5C"/>
    <w:rsid w:val="003A11AB"/>
    <w:rsid w:val="003A1279"/>
    <w:rsid w:val="003A387C"/>
    <w:rsid w:val="003A3B28"/>
    <w:rsid w:val="003B2286"/>
    <w:rsid w:val="003C552E"/>
    <w:rsid w:val="003F5F31"/>
    <w:rsid w:val="004316A5"/>
    <w:rsid w:val="004703C4"/>
    <w:rsid w:val="0047477A"/>
    <w:rsid w:val="00477EA2"/>
    <w:rsid w:val="004B7132"/>
    <w:rsid w:val="0050746E"/>
    <w:rsid w:val="0050779D"/>
    <w:rsid w:val="00521685"/>
    <w:rsid w:val="00523644"/>
    <w:rsid w:val="005250BA"/>
    <w:rsid w:val="00525207"/>
    <w:rsid w:val="005330B7"/>
    <w:rsid w:val="00564C34"/>
    <w:rsid w:val="005661E7"/>
    <w:rsid w:val="005705E3"/>
    <w:rsid w:val="005B7F96"/>
    <w:rsid w:val="005C56D6"/>
    <w:rsid w:val="005D6B2F"/>
    <w:rsid w:val="005F44F2"/>
    <w:rsid w:val="00623834"/>
    <w:rsid w:val="006322F4"/>
    <w:rsid w:val="00641C16"/>
    <w:rsid w:val="00641F6C"/>
    <w:rsid w:val="00697FC0"/>
    <w:rsid w:val="006A3D09"/>
    <w:rsid w:val="006B5D96"/>
    <w:rsid w:val="006B75CB"/>
    <w:rsid w:val="006C5EDB"/>
    <w:rsid w:val="006D0707"/>
    <w:rsid w:val="0070080F"/>
    <w:rsid w:val="007236F0"/>
    <w:rsid w:val="00724144"/>
    <w:rsid w:val="0076792D"/>
    <w:rsid w:val="00767A89"/>
    <w:rsid w:val="00776D4F"/>
    <w:rsid w:val="00781B35"/>
    <w:rsid w:val="007A1CEA"/>
    <w:rsid w:val="007A4D2F"/>
    <w:rsid w:val="007B0334"/>
    <w:rsid w:val="007E248C"/>
    <w:rsid w:val="00801A50"/>
    <w:rsid w:val="00845C9E"/>
    <w:rsid w:val="00853180"/>
    <w:rsid w:val="00853F6D"/>
    <w:rsid w:val="00855ECB"/>
    <w:rsid w:val="008660E5"/>
    <w:rsid w:val="00890FA4"/>
    <w:rsid w:val="00897E3E"/>
    <w:rsid w:val="008A1AC5"/>
    <w:rsid w:val="008B715A"/>
    <w:rsid w:val="008D2C5D"/>
    <w:rsid w:val="008F7FAD"/>
    <w:rsid w:val="0094641B"/>
    <w:rsid w:val="00967374"/>
    <w:rsid w:val="00973048"/>
    <w:rsid w:val="00980521"/>
    <w:rsid w:val="009B2558"/>
    <w:rsid w:val="009E77C0"/>
    <w:rsid w:val="00A33078"/>
    <w:rsid w:val="00A543A2"/>
    <w:rsid w:val="00A95AB7"/>
    <w:rsid w:val="00AD359C"/>
    <w:rsid w:val="00AE1594"/>
    <w:rsid w:val="00AE755E"/>
    <w:rsid w:val="00AF7883"/>
    <w:rsid w:val="00B04B60"/>
    <w:rsid w:val="00B269E1"/>
    <w:rsid w:val="00B474FB"/>
    <w:rsid w:val="00B60B24"/>
    <w:rsid w:val="00B615C0"/>
    <w:rsid w:val="00B72573"/>
    <w:rsid w:val="00B77C42"/>
    <w:rsid w:val="00B82B09"/>
    <w:rsid w:val="00B91E92"/>
    <w:rsid w:val="00BA1597"/>
    <w:rsid w:val="00BA6004"/>
    <w:rsid w:val="00BB3374"/>
    <w:rsid w:val="00BC4F57"/>
    <w:rsid w:val="00BF0E29"/>
    <w:rsid w:val="00C01FD0"/>
    <w:rsid w:val="00C02406"/>
    <w:rsid w:val="00C12141"/>
    <w:rsid w:val="00C2347E"/>
    <w:rsid w:val="00C47787"/>
    <w:rsid w:val="00C51317"/>
    <w:rsid w:val="00C66C87"/>
    <w:rsid w:val="00CB55B0"/>
    <w:rsid w:val="00D34B12"/>
    <w:rsid w:val="00D410CC"/>
    <w:rsid w:val="00D41237"/>
    <w:rsid w:val="00D5396C"/>
    <w:rsid w:val="00D83EEC"/>
    <w:rsid w:val="00D8497A"/>
    <w:rsid w:val="00D91ED6"/>
    <w:rsid w:val="00D97457"/>
    <w:rsid w:val="00DA281A"/>
    <w:rsid w:val="00DB10BE"/>
    <w:rsid w:val="00DD7D05"/>
    <w:rsid w:val="00E02983"/>
    <w:rsid w:val="00E17D93"/>
    <w:rsid w:val="00E725D0"/>
    <w:rsid w:val="00E73245"/>
    <w:rsid w:val="00EA430D"/>
    <w:rsid w:val="00EC60CF"/>
    <w:rsid w:val="00ED6660"/>
    <w:rsid w:val="00EE10C7"/>
    <w:rsid w:val="00EF0513"/>
    <w:rsid w:val="00EF7967"/>
    <w:rsid w:val="00EF7BE3"/>
    <w:rsid w:val="00F0421F"/>
    <w:rsid w:val="00F1084A"/>
    <w:rsid w:val="00F12D43"/>
    <w:rsid w:val="00F14E17"/>
    <w:rsid w:val="00F3629E"/>
    <w:rsid w:val="00F45D14"/>
    <w:rsid w:val="00F46AA2"/>
    <w:rsid w:val="00F65531"/>
    <w:rsid w:val="00F73868"/>
    <w:rsid w:val="00F829B0"/>
    <w:rsid w:val="00F85A63"/>
    <w:rsid w:val="00FA32DC"/>
    <w:rsid w:val="00FA3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98ADE"/>
  <w15:docId w15:val="{2036D2B8-3665-43CF-BBAC-BD8681CC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521"/>
    <w:pPr>
      <w:spacing w:after="240" w:line="360" w:lineRule="auto"/>
    </w:pPr>
    <w:rPr>
      <w:rFonts w:ascii="Arial" w:hAnsi="Arial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11AB"/>
    <w:pPr>
      <w:widowControl w:val="0"/>
      <w:pBdr>
        <w:top w:val="nil"/>
        <w:left w:val="nil"/>
        <w:bottom w:val="nil"/>
        <w:right w:val="nil"/>
        <w:between w:val="nil"/>
      </w:pBdr>
      <w:spacing w:before="240" w:line="312" w:lineRule="auto"/>
      <w:outlineLvl w:val="0"/>
    </w:pPr>
    <w:rPr>
      <w:b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11AB"/>
    <w:pPr>
      <w:keepNext/>
      <w:keepLines/>
      <w:spacing w:before="360" w:after="0" w:line="312" w:lineRule="auto"/>
      <w:outlineLvl w:val="1"/>
    </w:pPr>
    <w:rPr>
      <w:rFonts w:eastAsiaTheme="majorEastAsia" w:cstheme="majorBidi"/>
      <w:b/>
      <w:bCs/>
      <w:color w:val="D33278"/>
      <w:sz w:val="40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B91E92"/>
    <w:pPr>
      <w:keepNext/>
      <w:keepLines/>
      <w:spacing w:before="280" w:after="80"/>
      <w:outlineLvl w:val="2"/>
    </w:pPr>
    <w:rPr>
      <w:b/>
      <w:sz w:val="36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rsid w:val="00B91E92"/>
    <w:pPr>
      <w:keepNext/>
      <w:keepLines/>
      <w:spacing w:after="0"/>
      <w:outlineLvl w:val="3"/>
    </w:pPr>
    <w:rPr>
      <w:b/>
      <w:sz w:val="28"/>
    </w:rPr>
  </w:style>
  <w:style w:type="paragraph" w:styleId="Heading5">
    <w:name w:val="heading 5"/>
    <w:basedOn w:val="Normal"/>
    <w:next w:val="Normal"/>
    <w:uiPriority w:val="9"/>
    <w:unhideWhenUsed/>
    <w:qFormat/>
    <w:rsid w:val="00980521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3E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3E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3E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82626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6264"/>
    <w:pPr>
      <w:spacing w:after="160"/>
    </w:pPr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6264"/>
    <w:rPr>
      <w:rFonts w:eastAsiaTheme="minorHAnsi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26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26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link w:val="ListParagraphChar"/>
    <w:uiPriority w:val="72"/>
    <w:qFormat/>
    <w:rsid w:val="005C56D6"/>
    <w:pPr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167F46"/>
    <w:pPr>
      <w:spacing w:after="120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7F46"/>
    <w:rPr>
      <w:rFonts w:ascii="Arial" w:eastAsiaTheme="minorHAnsi" w:hAnsi="Arial"/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unhideWhenUsed/>
    <w:rsid w:val="00B474FB"/>
    <w:rPr>
      <w:sz w:val="20"/>
      <w:vertAlign w:val="superscript"/>
    </w:rPr>
  </w:style>
  <w:style w:type="character" w:styleId="Hyperlink">
    <w:name w:val="Hyperlink"/>
    <w:basedOn w:val="DefaultParagraphFont"/>
    <w:uiPriority w:val="99"/>
    <w:unhideWhenUsed/>
    <w:rsid w:val="0082626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84502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162DE0"/>
    <w:rPr>
      <w:rFonts w:ascii="Arial" w:hAnsi="Arial"/>
      <w:b/>
      <w:bCs/>
      <w:color w:val="auto"/>
      <w:sz w:val="24"/>
    </w:rPr>
  </w:style>
  <w:style w:type="character" w:customStyle="1" w:styleId="s1">
    <w:name w:val="s1"/>
    <w:basedOn w:val="DefaultParagraphFont"/>
    <w:rsid w:val="00AC659B"/>
  </w:style>
  <w:style w:type="character" w:customStyle="1" w:styleId="Heading2Char">
    <w:name w:val="Heading 2 Char"/>
    <w:basedOn w:val="DefaultParagraphFont"/>
    <w:link w:val="Heading2"/>
    <w:uiPriority w:val="9"/>
    <w:rsid w:val="003A11AB"/>
    <w:rPr>
      <w:rFonts w:ascii="Arial" w:eastAsiaTheme="majorEastAsia" w:hAnsi="Arial" w:cstheme="majorBidi"/>
      <w:b/>
      <w:bCs/>
      <w:color w:val="D33278"/>
      <w:sz w:val="40"/>
      <w:szCs w:val="26"/>
      <w:lang w:val="en-AU"/>
    </w:rPr>
  </w:style>
  <w:style w:type="paragraph" w:styleId="NoSpacing">
    <w:name w:val="No Spacing"/>
    <w:uiPriority w:val="1"/>
    <w:rsid w:val="00B60B24"/>
    <w:pPr>
      <w:spacing w:line="312" w:lineRule="auto"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F468E"/>
    <w:rPr>
      <w:rFonts w:ascii="Arial" w:hAnsi="Arial"/>
    </w:rPr>
  </w:style>
  <w:style w:type="character" w:styleId="IntenseEmphasis">
    <w:name w:val="Intense Emphasis"/>
    <w:uiPriority w:val="21"/>
    <w:rsid w:val="008611C1"/>
    <w:rPr>
      <w:b/>
      <w:bCs/>
      <w:i/>
      <w:iCs/>
      <w:color w:val="000000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8EB"/>
  </w:style>
  <w:style w:type="paragraph" w:styleId="Footer">
    <w:name w:val="footer"/>
    <w:basedOn w:val="Normal"/>
    <w:link w:val="FooterChar"/>
    <w:uiPriority w:val="99"/>
    <w:unhideWhenUsed/>
    <w:rsid w:val="003808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8EB"/>
  </w:style>
  <w:style w:type="character" w:customStyle="1" w:styleId="Heading1Char">
    <w:name w:val="Heading 1 Char"/>
    <w:basedOn w:val="DefaultParagraphFont"/>
    <w:link w:val="Heading1"/>
    <w:uiPriority w:val="9"/>
    <w:rsid w:val="003A11AB"/>
    <w:rPr>
      <w:rFonts w:ascii="Arial" w:hAnsi="Arial"/>
      <w:b/>
      <w:sz w:val="48"/>
      <w:lang w:val="en-AU"/>
    </w:rPr>
  </w:style>
  <w:style w:type="paragraph" w:styleId="BodyText">
    <w:name w:val="Body Text"/>
    <w:basedOn w:val="Normal"/>
    <w:link w:val="BodyTextChar"/>
    <w:rsid w:val="003B25AA"/>
    <w:pPr>
      <w:spacing w:before="170" w:after="170" w:line="264" w:lineRule="auto"/>
    </w:pPr>
    <w:rPr>
      <w:rFonts w:eastAsia="Times New Roman" w:cs="Times New Roman"/>
      <w:lang w:eastAsia="en-AU"/>
    </w:rPr>
  </w:style>
  <w:style w:type="character" w:customStyle="1" w:styleId="BodyTextChar">
    <w:name w:val="Body Text Char"/>
    <w:basedOn w:val="DefaultParagraphFont"/>
    <w:link w:val="BodyText"/>
    <w:rsid w:val="003B25AA"/>
    <w:rPr>
      <w:rFonts w:eastAsia="Times New Roman" w:cs="Times New Roman"/>
      <w:lang w:val="en-AU" w:eastAsia="en-AU"/>
    </w:rPr>
  </w:style>
  <w:style w:type="paragraph" w:styleId="TOCHeading">
    <w:name w:val="TOC Heading"/>
    <w:basedOn w:val="Heading1"/>
    <w:next w:val="Normal"/>
    <w:uiPriority w:val="39"/>
    <w:unhideWhenUsed/>
    <w:rsid w:val="001305C2"/>
    <w:pPr>
      <w:spacing w:line="259" w:lineRule="auto"/>
      <w:outlineLvl w:val="9"/>
    </w:pPr>
    <w:rPr>
      <w:color w:val="D33278"/>
      <w:sz w:val="44"/>
    </w:rPr>
  </w:style>
  <w:style w:type="paragraph" w:styleId="TOC1">
    <w:name w:val="toc 1"/>
    <w:basedOn w:val="Normal"/>
    <w:next w:val="Normal"/>
    <w:autoRedefine/>
    <w:uiPriority w:val="39"/>
    <w:unhideWhenUsed/>
    <w:rsid w:val="0017323B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323B"/>
    <w:pPr>
      <w:tabs>
        <w:tab w:val="right" w:leader="dot" w:pos="8290"/>
      </w:tabs>
      <w:spacing w:after="100"/>
      <w:ind w:left="567"/>
    </w:pPr>
    <w:rPr>
      <w:noProof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A5E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A5EE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A5EE2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C10"/>
    <w:pPr>
      <w:spacing w:after="0"/>
    </w:pPr>
    <w:rPr>
      <w:rFonts w:eastAsiaTheme="minorEastAsia"/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C10"/>
    <w:rPr>
      <w:rFonts w:eastAsiaTheme="minorHAnsi"/>
      <w:b/>
      <w:bCs/>
      <w:sz w:val="20"/>
      <w:szCs w:val="20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661EE3"/>
    <w:rPr>
      <w:color w:val="D33278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62DE0"/>
    <w:rPr>
      <w:rFonts w:ascii="Arial" w:hAnsi="Arial"/>
      <w:b/>
      <w:i w:val="0"/>
      <w:iCs/>
      <w:color w:val="D33278"/>
    </w:rPr>
  </w:style>
  <w:style w:type="character" w:styleId="UnresolvedMention">
    <w:name w:val="Unresolved Mention"/>
    <w:basedOn w:val="DefaultParagraphFont"/>
    <w:uiPriority w:val="99"/>
    <w:semiHidden/>
    <w:unhideWhenUsed/>
    <w:rsid w:val="00E659B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F73868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FA3E64"/>
    <w:pPr>
      <w:spacing w:after="100"/>
      <w:ind w:left="480"/>
    </w:pPr>
  </w:style>
  <w:style w:type="paragraph" w:styleId="ListBullet">
    <w:name w:val="List Bullet"/>
    <w:basedOn w:val="Normal"/>
    <w:uiPriority w:val="99"/>
    <w:unhideWhenUsed/>
    <w:qFormat/>
    <w:rsid w:val="00980521"/>
    <w:pPr>
      <w:numPr>
        <w:numId w:val="13"/>
      </w:numPr>
      <w:ind w:left="357" w:hanging="357"/>
      <w:contextualSpacing/>
    </w:pPr>
  </w:style>
  <w:style w:type="paragraph" w:styleId="ListNumber">
    <w:name w:val="List Number"/>
    <w:basedOn w:val="Normal"/>
    <w:uiPriority w:val="99"/>
    <w:unhideWhenUsed/>
    <w:qFormat/>
    <w:rsid w:val="00D83EEC"/>
    <w:pPr>
      <w:numPr>
        <w:numId w:val="11"/>
      </w:numPr>
      <w:contextualSpacing/>
    </w:pPr>
  </w:style>
  <w:style w:type="paragraph" w:styleId="TOC4">
    <w:name w:val="toc 4"/>
    <w:basedOn w:val="Normal"/>
    <w:next w:val="Normal"/>
    <w:autoRedefine/>
    <w:uiPriority w:val="39"/>
    <w:unhideWhenUsed/>
    <w:rsid w:val="00FA3E64"/>
    <w:pPr>
      <w:spacing w:after="100"/>
      <w:ind w:left="72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FA3E64"/>
    <w:rPr>
      <w:rFonts w:asciiTheme="majorHAnsi" w:eastAsiaTheme="majorEastAsia" w:hAnsiTheme="majorHAnsi" w:cstheme="majorBidi"/>
      <w:i/>
      <w:iCs/>
      <w:color w:val="0000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3E6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3E6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ookTitle">
    <w:name w:val="Book Title"/>
    <w:basedOn w:val="DefaultParagraphFont"/>
    <w:uiPriority w:val="33"/>
    <w:qFormat/>
    <w:rsid w:val="001305C2"/>
    <w:rPr>
      <w:rFonts w:ascii="Arial" w:hAnsi="Arial"/>
      <w:b w:val="0"/>
      <w:bCs/>
      <w:i/>
      <w:iCs/>
      <w:spacing w:val="5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4B60"/>
    <w:pPr>
      <w:pBdr>
        <w:top w:val="single" w:sz="4" w:space="10" w:color="D33278"/>
        <w:bottom w:val="single" w:sz="4" w:space="10" w:color="D33278"/>
      </w:pBdr>
      <w:spacing w:before="360" w:after="360"/>
      <w:ind w:left="567" w:right="567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4B60"/>
    <w:rPr>
      <w:rFonts w:ascii="Arial" w:hAnsi="Arial"/>
      <w:iCs/>
    </w:rPr>
  </w:style>
  <w:style w:type="table" w:styleId="TableGrid">
    <w:name w:val="Table Grid"/>
    <w:basedOn w:val="TableNormal"/>
    <w:uiPriority w:val="39"/>
    <w:rsid w:val="00C01FD0"/>
    <w:rPr>
      <w:rFonts w:asciiTheme="minorHAnsi" w:eastAsiaTheme="minorHAnsi" w:hAnsiTheme="minorHAnsi" w:cstheme="minorBidi"/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ccessibleArtstable">
    <w:name w:val="Accessible Arts table"/>
    <w:basedOn w:val="TableNormal"/>
    <w:uiPriority w:val="99"/>
    <w:rsid w:val="00384F5C"/>
    <w:rPr>
      <w:rFonts w:asciiTheme="minorHAnsi" w:hAnsiTheme="minorHAnsi"/>
    </w:rPr>
    <w:tblPr/>
  </w:style>
  <w:style w:type="character" w:customStyle="1" w:styleId="normaltextrun">
    <w:name w:val="normaltextrun"/>
    <w:basedOn w:val="DefaultParagraphFont"/>
    <w:rsid w:val="00801A50"/>
  </w:style>
  <w:style w:type="paragraph" w:styleId="BodyText2">
    <w:name w:val="Body Text 2"/>
    <w:basedOn w:val="Normal"/>
    <w:link w:val="BodyText2Char"/>
    <w:uiPriority w:val="99"/>
    <w:semiHidden/>
    <w:unhideWhenUsed/>
    <w:rsid w:val="00110F2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F2B"/>
    <w:rPr>
      <w:rFonts w:ascii="Arial" w:hAnsi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3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aarts.net.au/resources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ccessible Arts">
  <a:themeElements>
    <a:clrScheme name="Accessible Arts">
      <a:dk1>
        <a:sysClr val="windowText" lastClr="000000"/>
      </a:dk1>
      <a:lt1>
        <a:sysClr val="window" lastClr="FFFFFF"/>
      </a:lt1>
      <a:dk2>
        <a:srgbClr val="D33278"/>
      </a:dk2>
      <a:lt2>
        <a:srgbClr val="FFFFFF"/>
      </a:lt2>
      <a:accent1>
        <a:srgbClr val="000000"/>
      </a:accent1>
      <a:accent2>
        <a:srgbClr val="D33278"/>
      </a:accent2>
      <a:accent3>
        <a:srgbClr val="7F7F7F"/>
      </a:accent3>
      <a:accent4>
        <a:srgbClr val="595959"/>
      </a:accent4>
      <a:accent5>
        <a:srgbClr val="3F3F3F"/>
      </a:accent5>
      <a:accent6>
        <a:srgbClr val="262626"/>
      </a:accent6>
      <a:hlink>
        <a:srgbClr val="0563C1"/>
      </a:hlink>
      <a:folHlink>
        <a:srgbClr val="D3327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Accessible Arts" id="{AD5C77A2-ACDE-4569-BFE6-55EF5CA8A7C6}" vid="{E95916A3-906C-42C0-8AFE-2828C50CD0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3B51K9iHhtwjn6ecPo/oVqaEdg==">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</go:docsCustomData>
</go:gDocsCustomXmlDataStorage>
</file>

<file path=customXml/itemProps1.xml><?xml version="1.0" encoding="utf-8"?>
<ds:datastoreItem xmlns:ds="http://schemas.openxmlformats.org/officeDocument/2006/customXml" ds:itemID="{1852FBF0-1ED5-4E51-8EEE-5B27F80B38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Venue Checklist - Building Maintenance and Access</vt:lpstr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Venue Checklist - Building Maintenance and Access</dc:title>
  <dc:creator>Morwenna Collett</dc:creator>
  <cp:lastModifiedBy>Rachel Musgrove</cp:lastModifiedBy>
  <cp:revision>2</cp:revision>
  <dcterms:created xsi:type="dcterms:W3CDTF">2022-08-19T05:56:00Z</dcterms:created>
  <dcterms:modified xsi:type="dcterms:W3CDTF">2022-08-19T05:56:00Z</dcterms:modified>
</cp:coreProperties>
</file>