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unapologetic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interdependence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Resistance.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 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Seymour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 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"Dan,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guy?"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fucking,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fucking-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fucking.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 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fucking,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fucking.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 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sub-dom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Christopher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improvisations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choreographic,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palette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sequences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gestures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 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implicitly.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 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misconstrued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monologue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prolonged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tightly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Lightheart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coordinator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pre-show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Manchester.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 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Whyalla,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Adelaide.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Defaces,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Adelaide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spurred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2010.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 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umbrella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 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Munich,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Switzerland,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large-scale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large-scale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dilemma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dilemma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ridiculously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interrogating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 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t-shirt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resistance?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 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portrayed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 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 Daw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Cormack,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 Cormack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graveside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Bernhardt.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re-imagining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Melbourne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Rebeck's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Bernhardt/Hamlet,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Bernhardt's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scandalous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1899.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Bernhardt's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amputation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[foreign language 00:22:57]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sedan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conjured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Mulvany.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devastated,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Bernhardt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devastated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MTC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Southbank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matinee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21st,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tactile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matinee,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matinee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mtc.com.au.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livestream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Chloe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Hayden,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staggering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undiagnosed,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panelists,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sydneyoperahouse.com.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Bernhardt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2018,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Mulvany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 Cormack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Bernhardt.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Bernhardt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outlandish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theaters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Bernhardt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eccentric,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outlandish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menagerie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cheetah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crocodile.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incurred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Tosca,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parapet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accumulated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gangrene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amputated.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uncomfortable,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Bernhardt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Bernhardt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 Cormack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Mulvaney,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Mulvaney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Autistic.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hashtag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controversy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catalog,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McKim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Sophie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Smyth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catalog,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Hanna Cormack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 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(Singing)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230310 Sideshow Ep 15 Dan Daw interview (Completed  03/09/23)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10, 2023 -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gT7JckIX8QrusMl3Ir-9QYD2nLKzF7eSzGzH4vyrgovhD88fecAIf64afLR91rPKev8vxhUEMhjFSR9F-sgDJxsYXqs?loadFrom=DocumentHeaderDeepLin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