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Olivieri.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dyslexia.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Bankstown,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40+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pro-,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CACD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methodologies.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gatekeeping,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rigorously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Zhang,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Head-Toussaint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curatorium,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self-determined.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jargon.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lockdowns.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unpleasant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pronunciation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pronunciation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Lakshmi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Piepzna-Samarasinha.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mispronounced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dyslexia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Genesis's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Barangaroo.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Veronica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Barac-Gomez.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Cigarettes,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cigarettes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cigarettes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CACD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Aimée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Deborah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Keenahan.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Deborah's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Deborah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00:19:17]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Khouri.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Lebanese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Bavyka,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Craig.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Naomi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Naomi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community-led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inab-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rigorously.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Canberra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O'Brien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acoustic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Ruth's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love-filled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7:30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Canberra.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www.thestreet.org.au.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wifi-based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whimsical,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anthropocentric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Touretteshero's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Biscuit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Touretteshero,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inhabitants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apocalyptic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Touretteshero's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live-streamed.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PDF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download.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www.theoldcourts.com.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Touretteshero.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Touretteshero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superstar.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Griffin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Griffin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Griffin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Griffin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Hazel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Outro 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(singing)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230505 Sideshow Ep 17 Season of Care (Completed  05/04/23)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May 05,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h5rjcJ1tVEoGQ4JQuZkdf9t-at33Ee259NtUmQHDOwU2fgAT6HbqFQ4co2oXKVw7lOKotIMfahdsBMTA_2ROmLfV2Wk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