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nonbinary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Dja Dja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Wurrung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: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quite a, um, a zeitgeist piece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stumbled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gonna write 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synapses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trustworthy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'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often happens, I think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floodgates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they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nonjudgmental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where they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there'll,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Rebecca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'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they don't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Rebecca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soup. You got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like we're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squeeze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about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displacement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don't,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 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precautions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much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it, you know?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dyslexic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I'm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dimensional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Um,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everything.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need. 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broader. Yeah.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no.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book where...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Ailsa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compromise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you know,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grumpy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whispered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displacement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Ailsa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exquisite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Ailsa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like a 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a cisgender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cisgender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heterosexuals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community."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into, (laughs)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for your feedback. Um, would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disappointing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just in,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reformatted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you look at and go, "Oh, I can't focus on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nonbinary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the... and I...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needed it, but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know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I can do this.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said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bluntness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lot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you know,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unfurling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feel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perfectionism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you can't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okay?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like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about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Oh, great question.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second.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about crip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Okay.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The...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unacceptable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 I think so 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think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00:24:13]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it's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slingshot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cranky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Mm-hmm.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Sydneysiders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their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Klee's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O'Daniel's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Glendining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Sanctuary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Castlemaine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Griffin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Canberra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excerpt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Kazra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Outro 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230602 Sideshow Ep18 Jasper Peach (Completed  05/31/23)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May 31,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gLgIEPNH56Uv9uusrVNfsaPq7tcoRF4E2-khVTVF5RJ_Sc59wPxP6GCQeCmtSlRB38qqJhTKYN_E93yY7RTULWDilA4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