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occasion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Glendining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There?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resembles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resembles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Glendining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much for having me. I'm happy to be here.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BFI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then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learned there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with,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work out who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 me-,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compromise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been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been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am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say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-... If,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is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obstetrician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they're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people,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but,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confronting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said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spectacular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It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They were lit-...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Naomi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Naomi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pretty,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I did the interviews with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with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Naomi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it's, like,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and-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went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I, I just, I love, I,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heralde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heralded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but I got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He,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00:11:26]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yet,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gorgeous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But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brought in?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Um,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don't...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gonna in-...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alienation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want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O'Mahony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there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think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f-,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bit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'60s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 know.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best. It's my favorite thing.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as such a gift. Like,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saw it 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(laughs)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next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premiere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premiere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Sheffield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DocFest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early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Thessaloniki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Sheffield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cinema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autumn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00:16:30]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next project?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first draft of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00:16:47]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court dwarf in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1600s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we-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 you.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so, so much. It was lovely chatting to you.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Cormick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Ngunnawal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Ngambri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bedridden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housebound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there's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anonymous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aesthetics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Brunswick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Tuesday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Wednesday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toilets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Larissa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MacFarlane's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umbrella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Assembly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Fayen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D'Evie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Asphyxia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Alistair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Baldwin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cabaret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Artemis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Muñoz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livestreamed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sanitizer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Shilcock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Canberra's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Uncharted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Uncharted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umbrella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BSL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Shilcock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Toussaint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Chamaeleon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Cunningham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Dance II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10: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Griffin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Canberra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Canberra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June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excerpt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  <w:t>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230630 Sideshow Ep 19 Is Anybody Out There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Jun 28,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account/fil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