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Mozgala,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impulse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rigorous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BFA,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Bachelor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impulse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impulse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impulse,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Handicapped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playwright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playwright.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Fêtes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'13?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NYCDA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bilingual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bilingual.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"This...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Unfixable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Cripple.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Andronicus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00:12:46]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weed."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inertia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hyperbole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00:14:24]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recollect.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adaptation/appropriation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Buckingham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competitor-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Eddie.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playwright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playwright,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Margaret,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rescripted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Andronicus.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dramaturg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tenderloin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director/manager,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Apothetae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Midsummer.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three-legged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symbiotic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Andronicus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Morrill,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Kailyn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Aaron-Lozano,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eloquently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Tamora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triumvirate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dramaturg.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cachet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Andronicus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Lowrenčev,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replenishment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Jeremy's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Sideshow S3 Ep4 The Apothetae Theater PODCAST VE... (Completed  03/27/25)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27,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QInAJAP1tqjxRO-KQ0usCDeefkcb86Q_iCLUNWU3R85CpQIautcYYJnMTGTZ-NBKyJf2e-uaq1yu_ytg1bpiAtQn51M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