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00:01:20]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2006.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catalog.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excursions.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hand-in-hand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side-by-side.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seamless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interrelationships.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up-cycle,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high-fashion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pop-up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emcee.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Ceremonies.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00:10:48]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prejudice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morbid,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reinterpret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recounted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00:17:56]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penetrate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six-week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00:25:24]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O'Leary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videographer,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Carmody.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Davenport,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Berkeley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favourite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Davenport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Davenport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Bouvia,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Kahlo: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Kahlo: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Kahlo,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250523 Sideshow S3 Ep 6 Rawcus (Completed  05/22/25)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22,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cQCJKtonZk4KuqrirIVZ-wAkW_e-FKnz0ZQa6ZI8gx0zq2FX90AFgxALS9ItctLtATrwIeDS4HFGre_yG2uJvjTePLs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